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Lines="50" w:afterLines="50"/>
        <w:jc w:val="center"/>
        <w:rPr>
          <w:rFonts w:ascii="楷体" w:hAnsi="楷体" w:eastAsia="楷体" w:cs="宋体"/>
          <w:color w:val="000000"/>
          <w:kern w:val="0"/>
          <w:sz w:val="36"/>
          <w:szCs w:val="36"/>
        </w:rPr>
      </w:pPr>
      <w:r>
        <mc:AlternateContent>
          <mc:Choice Requires="wps">
            <w:drawing>
              <wp:anchor distT="0" distB="0" distL="114300" distR="114300" simplePos="0" relativeHeight="251658240" behindDoc="0" locked="0" layoutInCell="1" allowOverlap="1">
                <wp:simplePos x="0" y="0"/>
                <wp:positionH relativeFrom="column">
                  <wp:posOffset>4229100</wp:posOffset>
                </wp:positionH>
                <wp:positionV relativeFrom="paragraph">
                  <wp:posOffset>-297180</wp:posOffset>
                </wp:positionV>
                <wp:extent cx="1600200" cy="297180"/>
                <wp:effectExtent l="4445" t="4445" r="14605" b="22225"/>
                <wp:wrapNone/>
                <wp:docPr id="1" name="文本框 2"/>
                <wp:cNvGraphicFramePr/>
                <a:graphic xmlns:a="http://schemas.openxmlformats.org/drawingml/2006/main">
                  <a:graphicData uri="http://schemas.microsoft.com/office/word/2010/wordprocessingShape">
                    <wps:wsp>
                      <wps:cNvSpPr txBox="1"/>
                      <wps:spPr>
                        <a:xfrm>
                          <a:off x="0" y="0"/>
                          <a:ext cx="16002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sz w:val="24"/>
                                <w:szCs w:val="24"/>
                              </w:rPr>
                            </w:pPr>
                            <w:r>
                              <w:rPr>
                                <w:rFonts w:hint="eastAsia" w:ascii="宋体" w:hAnsi="宋体"/>
                                <w:sz w:val="24"/>
                                <w:szCs w:val="24"/>
                              </w:rPr>
                              <w:t>内部资料</w:t>
                            </w:r>
                            <w:r>
                              <w:rPr>
                                <w:rFonts w:ascii="宋体" w:hAnsi="宋体"/>
                                <w:sz w:val="24"/>
                                <w:szCs w:val="24"/>
                              </w:rPr>
                              <w:t xml:space="preserve">  </w:t>
                            </w:r>
                            <w:r>
                              <w:rPr>
                                <w:rFonts w:hint="eastAsia" w:ascii="宋体" w:hAnsi="宋体"/>
                                <w:sz w:val="24"/>
                                <w:szCs w:val="24"/>
                              </w:rPr>
                              <w:t>注意保管</w:t>
                            </w:r>
                          </w:p>
                        </w:txbxContent>
                      </wps:txbx>
                      <wps:bodyPr upright="1"/>
                    </wps:wsp>
                  </a:graphicData>
                </a:graphic>
              </wp:anchor>
            </w:drawing>
          </mc:Choice>
          <mc:Fallback>
            <w:pict>
              <v:shape id="文本框 2" o:spid="_x0000_s1026" o:spt="202" type="#_x0000_t202" style="position:absolute;left:0pt;margin-left:333pt;margin-top:-23.4pt;height:23.4pt;width:126pt;z-index:251658240;mso-width-relative:page;mso-height-relative:page;" fillcolor="#FFFFFF" filled="t" stroked="t" coordsize="21600,21600" o:gfxdata="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C3kKU/XAAAACAEAAA8AAAAAAAAAAQAgAAAAIgAAAGRycy9kb3ducmV2LnhtbFBLAQIUABQA&#10;AAAIAIdO4kCVRTAa8QEAAOgDAAAOAAAAAAAAAAEAIAAAACYBAABkcnMvZTJvRG9jLnhtbFBLBQYA&#10;AAAABgAGAFkBAACJBQAAAAA=&#10;">
                <v:fill on="t" focussize="0,0"/>
                <v:stroke color="#000000" joinstyle="miter"/>
                <v:imagedata o:title=""/>
                <o:lock v:ext="edit" aspectratio="f"/>
                <v:textbox>
                  <w:txbxContent>
                    <w:p>
                      <w:pPr>
                        <w:rPr>
                          <w:rFonts w:ascii="宋体"/>
                          <w:sz w:val="24"/>
                          <w:szCs w:val="24"/>
                        </w:rPr>
                      </w:pPr>
                      <w:r>
                        <w:rPr>
                          <w:rFonts w:hint="eastAsia" w:ascii="宋体" w:hAnsi="宋体"/>
                          <w:sz w:val="24"/>
                          <w:szCs w:val="24"/>
                        </w:rPr>
                        <w:t>内部资料</w:t>
                      </w:r>
                      <w:r>
                        <w:rPr>
                          <w:rFonts w:ascii="宋体" w:hAnsi="宋体"/>
                          <w:sz w:val="24"/>
                          <w:szCs w:val="24"/>
                        </w:rPr>
                        <w:t xml:space="preserve">  </w:t>
                      </w:r>
                      <w:r>
                        <w:rPr>
                          <w:rFonts w:hint="eastAsia" w:ascii="宋体" w:hAnsi="宋体"/>
                          <w:sz w:val="24"/>
                          <w:szCs w:val="24"/>
                        </w:rPr>
                        <w:t>注意保管</w:t>
                      </w:r>
                    </w:p>
                  </w:txbxContent>
                </v:textbox>
              </v:shape>
            </w:pict>
          </mc:Fallback>
        </mc:AlternateContent>
      </w:r>
      <w:r>
        <w:rPr>
          <w:rFonts w:ascii="华文中宋" w:hAnsi="华文中宋" w:eastAsia="华文中宋" w:cs="宋体"/>
          <w:color w:val="000000"/>
          <w:kern w:val="0"/>
          <w:sz w:val="44"/>
          <w:szCs w:val="44"/>
        </w:rPr>
        <w:br w:type="textWrapping"/>
      </w:r>
      <w:r>
        <w:rPr>
          <w:rFonts w:hint="eastAsia" w:ascii="华文中宋" w:hAnsi="华文中宋" w:eastAsia="华文中宋" w:cs="宋体"/>
          <w:b/>
          <w:color w:val="FF0000"/>
          <w:kern w:val="0"/>
          <w:sz w:val="100"/>
          <w:szCs w:val="100"/>
        </w:rPr>
        <w:t>学习参考资料</w:t>
      </w:r>
      <w:r>
        <w:rPr>
          <w:rFonts w:ascii="方正大标宋简体" w:hAnsi="宋体" w:eastAsia="方正大标宋简体" w:cs="宋体"/>
          <w:color w:val="FF0000"/>
          <w:kern w:val="0"/>
          <w:sz w:val="100"/>
          <w:szCs w:val="100"/>
        </w:rPr>
        <w:br w:type="textWrapping"/>
      </w:r>
      <w:r>
        <w:rPr>
          <w:rFonts w:hint="eastAsia" w:ascii="楷体" w:hAnsi="楷体" w:eastAsia="楷体" w:cs="宋体"/>
          <w:color w:val="000000"/>
          <w:kern w:val="0"/>
          <w:sz w:val="32"/>
          <w:szCs w:val="32"/>
        </w:rPr>
        <w:t>（</w:t>
      </w:r>
      <w:r>
        <w:rPr>
          <w:rFonts w:ascii="楷体" w:hAnsi="楷体" w:eastAsia="楷体" w:cs="宋体"/>
          <w:color w:val="000000"/>
          <w:kern w:val="0"/>
          <w:sz w:val="32"/>
          <w:szCs w:val="32"/>
        </w:rPr>
        <w:t>2020</w:t>
      </w:r>
      <w:r>
        <w:rPr>
          <w:rFonts w:hint="eastAsia" w:ascii="楷体" w:hAnsi="楷体" w:eastAsia="楷体" w:cs="宋体"/>
          <w:color w:val="000000"/>
          <w:kern w:val="0"/>
          <w:sz w:val="32"/>
          <w:szCs w:val="32"/>
        </w:rPr>
        <w:t>年1</w:t>
      </w:r>
      <w:r>
        <w:rPr>
          <w:rFonts w:hint="eastAsia" w:ascii="楷体" w:hAnsi="楷体" w:eastAsia="楷体" w:cs="宋体"/>
          <w:color w:val="000000"/>
          <w:kern w:val="0"/>
          <w:sz w:val="32"/>
          <w:szCs w:val="32"/>
          <w:lang w:val="en-US" w:eastAsia="zh-CN"/>
        </w:rPr>
        <w:t>2</w:t>
      </w:r>
      <w:r>
        <w:rPr>
          <w:rFonts w:hint="eastAsia" w:ascii="楷体" w:hAnsi="楷体" w:eastAsia="楷体" w:cs="宋体"/>
          <w:color w:val="000000"/>
          <w:kern w:val="0"/>
          <w:sz w:val="32"/>
          <w:szCs w:val="32"/>
        </w:rPr>
        <w:t>月）</w:t>
      </w:r>
    </w:p>
    <w:p>
      <w:pPr>
        <w:widowControl/>
        <w:rPr>
          <w:rFonts w:ascii="黑体" w:hAnsi="黑体" w:eastAsia="黑体" w:cs="宋体"/>
          <w:color w:val="000000"/>
          <w:kern w:val="0"/>
          <w:sz w:val="28"/>
          <w:u w:val="thick" w:color="0D0D0D"/>
        </w:rPr>
      </w:pPr>
      <w:r>
        <w:rPr>
          <w:rFonts w:ascii="黑体" w:hAnsi="黑体" w:eastAsia="黑体" w:cs="宋体"/>
          <w:color w:val="000000"/>
          <w:kern w:val="0"/>
          <w:sz w:val="28"/>
          <w:u w:val="thick" w:color="0D0D0D"/>
        </w:rPr>
        <w:t xml:space="preserve">    </w:t>
      </w:r>
      <w:r>
        <w:rPr>
          <w:rFonts w:hint="eastAsia" w:ascii="黑体" w:hAnsi="黑体" w:eastAsia="黑体" w:cs="宋体"/>
          <w:color w:val="000000"/>
          <w:kern w:val="0"/>
          <w:sz w:val="28"/>
          <w:u w:val="thick" w:color="0D0D0D"/>
        </w:rPr>
        <w:t>徐州工程学院党委宣传部</w:t>
      </w:r>
      <w:r>
        <w:rPr>
          <w:rFonts w:ascii="黑体" w:hAnsi="黑体" w:eastAsia="黑体" w:cs="宋体"/>
          <w:color w:val="000000"/>
          <w:kern w:val="0"/>
          <w:sz w:val="28"/>
          <w:u w:val="thick" w:color="0D0D0D"/>
        </w:rPr>
        <w:t xml:space="preserve"> </w:t>
      </w:r>
      <w:r>
        <w:rPr>
          <w:rFonts w:hint="eastAsia" w:ascii="黑体" w:hAnsi="黑体" w:eastAsia="黑体" w:cs="宋体"/>
          <w:color w:val="000000"/>
          <w:kern w:val="0"/>
          <w:sz w:val="28"/>
          <w:u w:val="thick" w:color="0D0D0D"/>
        </w:rPr>
        <w:t>编</w:t>
      </w:r>
      <w:r>
        <w:rPr>
          <w:rFonts w:ascii="黑体" w:hAnsi="黑体" w:eastAsia="黑体" w:cs="宋体"/>
          <w:color w:val="000000"/>
          <w:kern w:val="0"/>
          <w:sz w:val="28"/>
          <w:u w:val="thick" w:color="0D0D0D"/>
        </w:rPr>
        <w:t xml:space="preserve">        </w:t>
      </w:r>
      <w:r>
        <w:rPr>
          <w:rFonts w:hint="eastAsia" w:ascii="黑体" w:hAnsi="黑体" w:eastAsia="黑体" w:cs="宋体"/>
          <w:color w:val="000000"/>
          <w:kern w:val="0"/>
          <w:sz w:val="28"/>
          <w:u w:val="thick" w:color="0D0D0D"/>
        </w:rPr>
        <w:t xml:space="preserve">   </w:t>
      </w:r>
      <w:r>
        <w:rPr>
          <w:rFonts w:ascii="黑体" w:hAnsi="黑体" w:eastAsia="黑体" w:cs="宋体"/>
          <w:color w:val="000000"/>
          <w:kern w:val="0"/>
          <w:sz w:val="28"/>
          <w:u w:val="thick" w:color="0D0D0D"/>
        </w:rPr>
        <w:t xml:space="preserve"> 2020 </w:t>
      </w:r>
      <w:r>
        <w:rPr>
          <w:rFonts w:hint="eastAsia" w:ascii="黑体" w:hAnsi="黑体" w:eastAsia="黑体" w:cs="宋体"/>
          <w:color w:val="000000"/>
          <w:kern w:val="0"/>
          <w:sz w:val="28"/>
          <w:u w:val="thick" w:color="0D0D0D"/>
        </w:rPr>
        <w:t>年</w:t>
      </w:r>
      <w:r>
        <w:rPr>
          <w:rFonts w:ascii="黑体" w:hAnsi="黑体" w:eastAsia="黑体" w:cs="宋体"/>
          <w:color w:val="000000"/>
          <w:kern w:val="0"/>
          <w:sz w:val="28"/>
          <w:u w:val="thick" w:color="0D0D0D"/>
        </w:rPr>
        <w:t xml:space="preserve"> </w:t>
      </w:r>
      <w:r>
        <w:rPr>
          <w:rFonts w:hint="eastAsia" w:ascii="黑体" w:hAnsi="黑体" w:eastAsia="黑体" w:cs="宋体"/>
          <w:color w:val="000000"/>
          <w:kern w:val="0"/>
          <w:sz w:val="28"/>
          <w:u w:val="thick" w:color="0D0D0D"/>
        </w:rPr>
        <w:t>1</w:t>
      </w:r>
      <w:r>
        <w:rPr>
          <w:rFonts w:hint="eastAsia" w:ascii="黑体" w:hAnsi="黑体" w:eastAsia="黑体" w:cs="宋体"/>
          <w:color w:val="000000"/>
          <w:kern w:val="0"/>
          <w:sz w:val="28"/>
          <w:u w:val="thick" w:color="0D0D0D"/>
          <w:lang w:val="en-US" w:eastAsia="zh-CN"/>
        </w:rPr>
        <w:t>2</w:t>
      </w:r>
      <w:r>
        <w:rPr>
          <w:rFonts w:hint="eastAsia" w:ascii="黑体" w:hAnsi="黑体" w:eastAsia="黑体" w:cs="宋体"/>
          <w:color w:val="000000"/>
          <w:kern w:val="0"/>
          <w:sz w:val="28"/>
          <w:u w:val="thick" w:color="0D0D0D"/>
        </w:rPr>
        <w:t>月</w:t>
      </w:r>
      <w:r>
        <w:rPr>
          <w:rFonts w:ascii="黑体" w:hAnsi="黑体" w:eastAsia="黑体" w:cs="宋体"/>
          <w:color w:val="000000"/>
          <w:kern w:val="0"/>
          <w:sz w:val="28"/>
          <w:u w:val="thick" w:color="0D0D0D"/>
        </w:rPr>
        <w:t xml:space="preserve">                </w:t>
      </w:r>
    </w:p>
    <w:p>
      <w:pPr>
        <w:widowControl/>
        <w:spacing w:before="75" w:after="150" w:line="520" w:lineRule="exact"/>
        <w:outlineLvl w:val="0"/>
        <w:rPr>
          <w:rFonts w:ascii="华文中宋" w:hAnsi="华文中宋" w:eastAsia="华文中宋"/>
          <w:bCs/>
          <w:sz w:val="44"/>
          <w:szCs w:val="44"/>
          <w:shd w:val="clear" w:color="auto" w:fill="FFFFFF"/>
        </w:rPr>
      </w:pPr>
      <w:bookmarkStart w:id="0" w:name="_Toc530996193"/>
      <w:bookmarkStart w:id="1" w:name="_Toc530996231"/>
    </w:p>
    <w:p>
      <w:pPr>
        <w:widowControl/>
        <w:spacing w:before="75" w:after="150" w:line="855" w:lineRule="atLeast"/>
        <w:jc w:val="center"/>
        <w:outlineLvl w:val="0"/>
        <w:rPr>
          <w:rFonts w:ascii="华文中宋" w:hAnsi="华文中宋" w:eastAsia="华文中宋"/>
          <w:bCs/>
          <w:sz w:val="44"/>
          <w:szCs w:val="44"/>
          <w:shd w:val="clear" w:color="auto" w:fill="FFFFFF"/>
        </w:rPr>
      </w:pPr>
      <w:r>
        <w:rPr>
          <w:rFonts w:hint="eastAsia" w:ascii="华文中宋" w:hAnsi="华文中宋" w:eastAsia="华文中宋"/>
          <w:bCs/>
          <w:sz w:val="44"/>
          <w:szCs w:val="44"/>
          <w:shd w:val="clear" w:color="auto" w:fill="FFFFFF"/>
        </w:rPr>
        <w:t>目</w:t>
      </w:r>
      <w:r>
        <w:rPr>
          <w:rFonts w:ascii="华文中宋" w:hAnsi="华文中宋" w:eastAsia="华文中宋"/>
          <w:bCs/>
          <w:sz w:val="44"/>
          <w:szCs w:val="44"/>
          <w:shd w:val="clear" w:color="auto" w:fill="FFFFFF"/>
        </w:rPr>
        <w:t xml:space="preserve"> </w:t>
      </w:r>
      <w:r>
        <w:rPr>
          <w:rFonts w:hint="eastAsia" w:ascii="华文中宋" w:hAnsi="华文中宋" w:eastAsia="华文中宋"/>
          <w:bCs/>
          <w:sz w:val="44"/>
          <w:szCs w:val="44"/>
          <w:shd w:val="clear" w:color="auto" w:fill="FFFFFF"/>
        </w:rPr>
        <w:t>录</w:t>
      </w:r>
      <w:bookmarkEnd w:id="0"/>
      <w:bookmarkEnd w:id="1"/>
    </w:p>
    <w:p>
      <w:pPr>
        <w:pStyle w:val="30"/>
        <w:spacing w:before="100" w:beforeAutospacing="1" w:after="100" w:afterAutospacing="1" w:line="560" w:lineRule="exact"/>
        <w:jc w:val="distribute"/>
        <w:rPr>
          <w:rFonts w:ascii="楷体_GB2312" w:hAnsi="仿宋" w:eastAsia="楷体_GB2312"/>
          <w:sz w:val="32"/>
          <w:szCs w:val="32"/>
        </w:rPr>
      </w:pPr>
      <w:r>
        <w:rPr>
          <w:rFonts w:hint="eastAsia" w:ascii="楷体_GB2312" w:hAnsi="仿宋" w:eastAsia="楷体_GB2312"/>
          <w:sz w:val="32"/>
          <w:szCs w:val="32"/>
        </w:rPr>
        <w:t>1.中共中央关于制定国民经济和社会发展第十四个五年规划和二〇三五年远景目标的建议……………………………1</w:t>
      </w:r>
    </w:p>
    <w:p>
      <w:pPr>
        <w:pStyle w:val="30"/>
        <w:spacing w:before="100" w:beforeAutospacing="1" w:after="100" w:afterAutospacing="1" w:line="560" w:lineRule="exact"/>
        <w:ind w:left="160" w:hanging="160" w:hangingChars="50"/>
        <w:jc w:val="distribute"/>
        <w:rPr>
          <w:rFonts w:hint="eastAsia" w:ascii="楷体_GB2312" w:hAnsi="仿宋" w:eastAsia="楷体_GB2312"/>
          <w:sz w:val="32"/>
          <w:szCs w:val="32"/>
        </w:rPr>
      </w:pPr>
      <w:r>
        <w:rPr>
          <w:rFonts w:hint="eastAsia" w:ascii="楷体_GB2312" w:hAnsi="仿宋" w:eastAsia="楷体_GB2312"/>
          <w:sz w:val="32"/>
          <w:szCs w:val="32"/>
          <w:lang w:val="en-US" w:eastAsia="zh-CN"/>
        </w:rPr>
        <w:t>2</w:t>
      </w:r>
      <w:r>
        <w:rPr>
          <w:rFonts w:hint="eastAsia" w:ascii="楷体_GB2312" w:hAnsi="仿宋" w:eastAsia="楷体_GB2312"/>
          <w:sz w:val="32"/>
          <w:szCs w:val="32"/>
        </w:rPr>
        <w:t>.习近平关于《中共中央关于制定国民经济和社会发展第十四个五年规划和二</w:t>
      </w:r>
      <w:r>
        <w:rPr>
          <w:rFonts w:hint="eastAsia" w:ascii="宋体" w:hAnsi="宋体" w:cs="宋体"/>
          <w:sz w:val="32"/>
          <w:szCs w:val="32"/>
        </w:rPr>
        <w:t>〇</w:t>
      </w:r>
      <w:r>
        <w:rPr>
          <w:rFonts w:hint="eastAsia" w:ascii="楷体_GB2312" w:hAnsi="楷体_GB2312" w:eastAsia="楷体_GB2312" w:cs="楷体_GB2312"/>
          <w:sz w:val="32"/>
          <w:szCs w:val="32"/>
        </w:rPr>
        <w:t>三五年远景目标的建议》的说明</w:t>
      </w:r>
      <w:r>
        <w:rPr>
          <w:rFonts w:hint="eastAsia" w:ascii="楷体_GB2312" w:hAnsi="仿宋" w:eastAsia="楷体_GB2312"/>
          <w:sz w:val="32"/>
          <w:szCs w:val="32"/>
        </w:rPr>
        <w:t>…</w:t>
      </w:r>
      <w:r>
        <w:rPr>
          <w:rFonts w:hint="eastAsia" w:ascii="楷体_GB2312" w:hAnsi="仿宋" w:eastAsia="楷体_GB2312"/>
          <w:sz w:val="32"/>
          <w:szCs w:val="32"/>
          <w:lang w:val="en-US" w:eastAsia="zh-CN"/>
        </w:rPr>
        <w:t>3</w:t>
      </w:r>
      <w:r>
        <w:rPr>
          <w:rFonts w:hint="eastAsia" w:ascii="楷体_GB2312" w:hAnsi="仿宋" w:eastAsia="楷体_GB2312"/>
          <w:sz w:val="32"/>
          <w:szCs w:val="32"/>
        </w:rPr>
        <w:t>3</w:t>
      </w:r>
    </w:p>
    <w:p>
      <w:pPr>
        <w:pStyle w:val="30"/>
        <w:spacing w:before="100" w:beforeAutospacing="1" w:after="100" w:afterAutospacing="1" w:line="560" w:lineRule="exact"/>
        <w:ind w:left="160" w:hanging="160" w:hangingChars="50"/>
        <w:jc w:val="distribute"/>
        <w:rPr>
          <w:rFonts w:hint="default" w:ascii="楷体_GB2312" w:hAnsi="仿宋" w:eastAsia="楷体_GB2312"/>
          <w:sz w:val="32"/>
          <w:szCs w:val="32"/>
          <w:lang w:val="en-US" w:eastAsia="zh-CN"/>
        </w:rPr>
      </w:pPr>
      <w:r>
        <w:rPr>
          <w:rFonts w:hint="eastAsia" w:ascii="楷体_GB2312" w:hAnsi="仿宋" w:eastAsia="楷体_GB2312"/>
          <w:sz w:val="32"/>
          <w:szCs w:val="32"/>
          <w:lang w:val="en-US" w:eastAsia="zh-CN"/>
        </w:rPr>
        <w:t>3.</w:t>
      </w:r>
      <w:r>
        <w:rPr>
          <w:rFonts w:hint="eastAsia" w:ascii="楷体_GB2312" w:hAnsi="仿宋" w:eastAsia="楷体_GB2312"/>
          <w:sz w:val="32"/>
          <w:szCs w:val="32"/>
        </w:rPr>
        <w:t>习近平在江苏考察时强调：贯彻新发展理念构建新发展格局 推动经济社会高质量发展可持续发展………………</w:t>
      </w:r>
      <w:r>
        <w:rPr>
          <w:rFonts w:hint="eastAsia" w:ascii="楷体_GB2312" w:hAnsi="仿宋" w:eastAsia="楷体_GB2312"/>
          <w:sz w:val="32"/>
          <w:szCs w:val="32"/>
          <w:lang w:val="en-US" w:eastAsia="zh-CN"/>
        </w:rPr>
        <w:t>43</w:t>
      </w:r>
    </w:p>
    <w:p>
      <w:pPr>
        <w:pStyle w:val="30"/>
        <w:spacing w:before="100" w:beforeAutospacing="1" w:after="100" w:afterAutospacing="1" w:line="560" w:lineRule="exact"/>
        <w:ind w:left="160" w:hanging="160" w:hangingChars="50"/>
        <w:jc w:val="left"/>
        <w:rPr>
          <w:rFonts w:hint="default" w:ascii="楷体_GB2312" w:hAnsi="仿宋" w:eastAsia="楷体_GB2312"/>
          <w:sz w:val="32"/>
          <w:szCs w:val="32"/>
          <w:lang w:val="en-US" w:eastAsia="zh-CN"/>
        </w:rPr>
      </w:pPr>
      <w:r>
        <w:rPr>
          <w:rFonts w:hint="eastAsia" w:ascii="楷体_GB2312" w:hAnsi="仿宋" w:eastAsia="楷体_GB2312"/>
          <w:sz w:val="32"/>
          <w:szCs w:val="32"/>
          <w:lang w:val="en-US" w:eastAsia="zh-CN"/>
        </w:rPr>
        <w:t>4.</w:t>
      </w:r>
      <w:r>
        <w:rPr>
          <w:rFonts w:hint="eastAsia" w:ascii="楷体_GB2312" w:hAnsi="仿宋" w:eastAsia="楷体_GB2312"/>
          <w:sz w:val="32"/>
          <w:szCs w:val="32"/>
        </w:rPr>
        <w:t>习近平给人民教育出版社老同志回信强调：紧紧围绕立德树人根本任务</w:t>
      </w:r>
      <w:r>
        <w:rPr>
          <w:rFonts w:hint="eastAsia" w:ascii="楷体_GB2312" w:hAnsi="仿宋" w:eastAsia="楷体_GB2312"/>
          <w:sz w:val="32"/>
          <w:szCs w:val="32"/>
          <w:lang w:val="en-US" w:eastAsia="zh-CN"/>
        </w:rPr>
        <w:t xml:space="preserve"> </w:t>
      </w:r>
      <w:r>
        <w:rPr>
          <w:rFonts w:hint="eastAsia" w:ascii="楷体_GB2312" w:hAnsi="仿宋" w:eastAsia="楷体_GB2312"/>
          <w:sz w:val="32"/>
          <w:szCs w:val="32"/>
        </w:rPr>
        <w:t>用心打造培根铸魂启智增慧的精品教材</w:t>
      </w:r>
      <w:r>
        <w:rPr>
          <w:rFonts w:hint="eastAsia" w:ascii="楷体_GB2312" w:hAnsi="仿宋" w:eastAsia="楷体_GB2312"/>
          <w:sz w:val="20"/>
          <w:szCs w:val="20"/>
          <w:lang w:val="en-US" w:eastAsia="zh-CN"/>
        </w:rPr>
        <w:t>·</w:t>
      </w:r>
      <w:r>
        <w:rPr>
          <w:rFonts w:hint="eastAsia" w:ascii="楷体_GB2312" w:hAnsi="仿宋" w:eastAsia="楷体_GB2312"/>
          <w:sz w:val="32"/>
          <w:szCs w:val="32"/>
          <w:lang w:val="en-US" w:eastAsia="zh-CN"/>
        </w:rPr>
        <w:t>49</w:t>
      </w:r>
    </w:p>
    <w:p>
      <w:pPr>
        <w:pStyle w:val="30"/>
        <w:spacing w:before="100" w:beforeAutospacing="1" w:after="100" w:afterAutospacing="1" w:line="560" w:lineRule="exact"/>
        <w:ind w:left="160" w:hanging="160" w:hangingChars="50"/>
        <w:jc w:val="left"/>
        <w:rPr>
          <w:rFonts w:hint="default" w:ascii="楷体_GB2312" w:hAnsi="仿宋" w:eastAsia="楷体_GB2312"/>
          <w:sz w:val="32"/>
          <w:szCs w:val="32"/>
          <w:lang w:val="en-US" w:eastAsia="zh-CN"/>
        </w:rPr>
      </w:pPr>
      <w:r>
        <w:rPr>
          <w:rFonts w:hint="eastAsia" w:ascii="楷体_GB2312" w:hAnsi="仿宋" w:eastAsia="楷体_GB2312"/>
          <w:sz w:val="32"/>
          <w:szCs w:val="32"/>
          <w:lang w:val="en-US" w:eastAsia="zh-CN"/>
        </w:rPr>
        <w:t>5.</w:t>
      </w:r>
      <w:r>
        <w:rPr>
          <w:rFonts w:hint="eastAsia" w:ascii="楷体_GB2312" w:hAnsi="仿宋" w:eastAsia="楷体_GB2312"/>
          <w:sz w:val="32"/>
          <w:szCs w:val="32"/>
        </w:rPr>
        <w:t>《求是》2020年第22期：推进全面依法治国，发挥法治在国家治理体系和治理能力现代化中的积极作用………</w:t>
      </w:r>
      <w:r>
        <w:rPr>
          <w:rFonts w:hint="eastAsia" w:ascii="楷体_GB2312" w:hAnsi="仿宋" w:eastAsia="楷体_GB2312"/>
          <w:sz w:val="32"/>
          <w:szCs w:val="32"/>
          <w:lang w:val="en-US" w:eastAsia="zh-CN"/>
        </w:rPr>
        <w:t>51</w:t>
      </w:r>
    </w:p>
    <w:p>
      <w:pPr>
        <w:pStyle w:val="30"/>
        <w:spacing w:before="100" w:beforeAutospacing="1" w:after="100" w:afterAutospacing="1" w:line="560" w:lineRule="exact"/>
        <w:ind w:left="160" w:hanging="160" w:hangingChars="50"/>
        <w:jc w:val="distribute"/>
        <w:rPr>
          <w:rFonts w:hint="default" w:ascii="楷体_GB2312" w:hAnsi="仿宋" w:eastAsia="楷体_GB2312"/>
          <w:sz w:val="32"/>
          <w:szCs w:val="32"/>
          <w:lang w:val="en-US" w:eastAsia="zh-CN"/>
        </w:rPr>
      </w:pPr>
      <w:r>
        <w:rPr>
          <w:rFonts w:hint="eastAsia" w:ascii="楷体_GB2312" w:hAnsi="仿宋" w:eastAsia="楷体_GB2312"/>
          <w:sz w:val="32"/>
          <w:szCs w:val="32"/>
          <w:lang w:val="en-US" w:eastAsia="zh-CN"/>
        </w:rPr>
        <w:t>6.</w:t>
      </w:r>
      <w:r>
        <w:rPr>
          <w:rFonts w:hint="eastAsia" w:ascii="楷体_GB2312" w:hAnsi="仿宋" w:eastAsia="楷体_GB2312"/>
          <w:sz w:val="32"/>
          <w:szCs w:val="32"/>
        </w:rPr>
        <w:t>中共中央</w:t>
      </w:r>
      <w:r>
        <w:rPr>
          <w:rFonts w:hint="eastAsia" w:ascii="楷体_GB2312" w:hAnsi="仿宋" w:eastAsia="楷体_GB2312"/>
          <w:sz w:val="32"/>
          <w:szCs w:val="32"/>
          <w:lang w:val="en-US" w:eastAsia="zh-CN"/>
        </w:rPr>
        <w:t xml:space="preserve"> </w:t>
      </w:r>
      <w:r>
        <w:rPr>
          <w:rFonts w:hint="eastAsia" w:ascii="楷体_GB2312" w:hAnsi="仿宋" w:eastAsia="楷体_GB2312"/>
          <w:sz w:val="32"/>
          <w:szCs w:val="32"/>
        </w:rPr>
        <w:t>国务院印发《深化新时代教育评价改革总体方案》………………………………………………………</w:t>
      </w:r>
      <w:r>
        <w:rPr>
          <w:rFonts w:hint="eastAsia" w:ascii="楷体_GB2312" w:hAnsi="仿宋" w:eastAsia="楷体_GB2312"/>
          <w:sz w:val="32"/>
          <w:szCs w:val="32"/>
          <w:lang w:val="en-US" w:eastAsia="zh-CN"/>
        </w:rPr>
        <w:t>55</w:t>
      </w:r>
    </w:p>
    <w:p>
      <w:pPr>
        <w:pStyle w:val="30"/>
        <w:spacing w:before="100" w:beforeAutospacing="1" w:after="100" w:afterAutospacing="1" w:line="560" w:lineRule="exact"/>
        <w:ind w:left="160" w:hanging="160" w:hangingChars="50"/>
        <w:jc w:val="center"/>
        <w:rPr>
          <w:rFonts w:hint="default" w:ascii="楷体_GB2312" w:hAnsi="仿宋" w:eastAsia="楷体_GB2312"/>
          <w:sz w:val="32"/>
          <w:szCs w:val="32"/>
          <w:lang w:val="en-US" w:eastAsia="zh-CN"/>
        </w:rPr>
      </w:pPr>
    </w:p>
    <w:p>
      <w:pPr>
        <w:pStyle w:val="30"/>
        <w:spacing w:before="100" w:beforeAutospacing="1" w:after="100" w:afterAutospacing="1" w:line="560" w:lineRule="exact"/>
        <w:ind w:left="160" w:hanging="160" w:hangingChars="50"/>
        <w:jc w:val="center"/>
        <w:rPr>
          <w:rFonts w:hint="eastAsia" w:ascii="楷体_GB2312" w:hAnsi="仿宋" w:eastAsia="楷体_GB2312"/>
          <w:sz w:val="32"/>
          <w:szCs w:val="32"/>
        </w:rPr>
      </w:pPr>
    </w:p>
    <w:p>
      <w:pPr>
        <w:pStyle w:val="30"/>
        <w:spacing w:before="100" w:beforeAutospacing="1" w:after="100" w:afterAutospacing="1" w:line="560" w:lineRule="exact"/>
        <w:jc w:val="both"/>
        <w:rPr>
          <w:rFonts w:ascii="楷体_GB2312" w:hAnsi="仿宋" w:eastAsia="楷体_GB2312"/>
          <w:sz w:val="32"/>
          <w:szCs w:val="32"/>
        </w:rPr>
        <w:sectPr>
          <w:footerReference r:id="rId3" w:type="default"/>
          <w:pgSz w:w="11906" w:h="16838"/>
          <w:pgMar w:top="1440" w:right="1797" w:bottom="1440" w:left="1797" w:header="851" w:footer="992" w:gutter="0"/>
          <w:pgNumType w:start="1"/>
          <w:cols w:space="425" w:num="1"/>
          <w:docGrid w:type="lines" w:linePitch="312" w:charSpace="0"/>
        </w:sectPr>
      </w:pPr>
    </w:p>
    <w:p>
      <w:pPr>
        <w:spacing w:beforeLines="50" w:afterLines="50" w:line="640" w:lineRule="exact"/>
        <w:jc w:val="center"/>
        <w:rPr>
          <w:rFonts w:ascii="方正小标宋简体" w:eastAsia="方正小标宋简体"/>
          <w:sz w:val="44"/>
          <w:szCs w:val="44"/>
        </w:rPr>
      </w:pPr>
      <w:r>
        <w:rPr>
          <w:rFonts w:hint="eastAsia" w:ascii="方正小标宋简体" w:eastAsia="方正小标宋简体"/>
          <w:sz w:val="44"/>
          <w:szCs w:val="44"/>
        </w:rPr>
        <w:t>中共中央关于制定国民经济和社会发展</w:t>
      </w:r>
    </w:p>
    <w:p>
      <w:pPr>
        <w:spacing w:beforeLines="50" w:afterLines="50" w:line="640" w:lineRule="exact"/>
        <w:jc w:val="center"/>
        <w:rPr>
          <w:rFonts w:ascii="方正小标宋简体" w:eastAsia="方正小标宋简体"/>
          <w:sz w:val="44"/>
          <w:szCs w:val="44"/>
        </w:rPr>
      </w:pPr>
      <w:r>
        <w:rPr>
          <w:rFonts w:hint="eastAsia" w:ascii="方正小标宋简体" w:eastAsia="方正小标宋简体"/>
          <w:sz w:val="44"/>
          <w:szCs w:val="44"/>
        </w:rPr>
        <w:t>第十四个五年规划和二</w:t>
      </w:r>
      <w:r>
        <w:rPr>
          <w:rFonts w:hint="eastAsia" w:ascii="宋体" w:hAnsi="宋体" w:cs="宋体"/>
          <w:sz w:val="44"/>
          <w:szCs w:val="44"/>
        </w:rPr>
        <w:t>〇</w:t>
      </w:r>
      <w:r>
        <w:rPr>
          <w:rFonts w:hint="eastAsia" w:ascii="方正小标宋简体" w:hAnsi="方正小标宋简体" w:eastAsia="方正小标宋简体" w:cs="方正小标宋简体"/>
          <w:sz w:val="44"/>
          <w:szCs w:val="44"/>
        </w:rPr>
        <w:t>三五年远景目标的建议</w:t>
      </w:r>
    </w:p>
    <w:p>
      <w:pPr>
        <w:widowControl/>
        <w:spacing w:line="540" w:lineRule="exact"/>
        <w:jc w:val="center"/>
        <w:rPr>
          <w:rFonts w:ascii="楷体_GB2312" w:hAnsi="仿宋_GB2312" w:eastAsia="楷体_GB2312" w:cs="仿宋_GB2312"/>
          <w:kern w:val="0"/>
          <w:sz w:val="32"/>
          <w:szCs w:val="32"/>
        </w:rPr>
      </w:pPr>
      <w:r>
        <w:rPr>
          <w:rFonts w:hint="eastAsia" w:ascii="楷体_GB2312" w:hAnsi="??" w:eastAsia="楷体_GB2312" w:cs="宋体"/>
          <w:kern w:val="0"/>
          <w:sz w:val="32"/>
          <w:szCs w:val="32"/>
        </w:rPr>
        <w:t>（二</w:t>
      </w:r>
      <w:r>
        <w:rPr>
          <w:rFonts w:hint="eastAsia" w:ascii="楷体_GB2312" w:hAnsi="宋体" w:cs="宋体"/>
          <w:kern w:val="0"/>
          <w:sz w:val="32"/>
          <w:szCs w:val="32"/>
        </w:rPr>
        <w:t>〇</w:t>
      </w:r>
      <w:r>
        <w:rPr>
          <w:rFonts w:hint="eastAsia" w:ascii="楷体_GB2312" w:hAnsi="仿宋_GB2312" w:eastAsia="楷体_GB2312" w:cs="仿宋_GB2312"/>
          <w:kern w:val="0"/>
          <w:sz w:val="32"/>
          <w:szCs w:val="32"/>
        </w:rPr>
        <w:t>二</w:t>
      </w:r>
      <w:r>
        <w:rPr>
          <w:rFonts w:hint="eastAsia" w:ascii="楷体_GB2312" w:hAnsi="宋体" w:cs="宋体"/>
          <w:kern w:val="0"/>
          <w:sz w:val="32"/>
          <w:szCs w:val="32"/>
        </w:rPr>
        <w:t>〇</w:t>
      </w:r>
      <w:r>
        <w:rPr>
          <w:rFonts w:hint="eastAsia" w:ascii="楷体_GB2312" w:hAnsi="仿宋_GB2312" w:eastAsia="楷体_GB2312" w:cs="仿宋_GB2312"/>
          <w:kern w:val="0"/>
          <w:sz w:val="32"/>
          <w:szCs w:val="32"/>
        </w:rPr>
        <w:t>年十月二十九日中国共产党第十九届中央委员会</w:t>
      </w:r>
    </w:p>
    <w:p>
      <w:pPr>
        <w:widowControl/>
        <w:spacing w:line="540" w:lineRule="exact"/>
        <w:jc w:val="center"/>
        <w:rPr>
          <w:rFonts w:ascii="楷体_GB2312" w:hAnsi="??" w:eastAsia="楷体_GB2312" w:cs="宋体"/>
          <w:kern w:val="0"/>
          <w:sz w:val="32"/>
          <w:szCs w:val="32"/>
        </w:rPr>
      </w:pPr>
      <w:r>
        <w:rPr>
          <w:rFonts w:hint="eastAsia" w:ascii="楷体_GB2312" w:hAnsi="仿宋_GB2312" w:eastAsia="楷体_GB2312" w:cs="仿宋_GB2312"/>
          <w:kern w:val="0"/>
          <w:sz w:val="32"/>
          <w:szCs w:val="32"/>
        </w:rPr>
        <w:t>第五次全体会议通过）</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十四五”时期是我国全面建成小康社会、实现第一个百年奋斗目标之后，乘势而上开启全面建设社会主义现代化国家新征程、向第二个百年奋斗目标进军的第一个五年。中国共产党第十九届中央委员会第五次全体会议深入分析国际国内形势，就制定国民经济和社会发展“十四五”规划和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三五年远景目标提出以下建议。</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一、全面建成小康社会，开启全面建设社会主义现代化国家新征程</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1.决胜全面建成小康社会取得决定性成就。“十三五”时期是全面建成小康社会决胜阶段。面对错综复杂的国际形势、艰巨繁重的国内改革发展稳定任务特别是新冠肺炎疫情严重冲击，以习近平同志为核心的党中央不忘初心、牢记使命，团结带领全党全国各族人民砥砺前行、开拓创新，奋发有为推进党和国家各项事业。全面深化改革取得重大突破，全面依法治国取得重大进展，全面从严治党取得重大成果，国家治理体系和治理能力现代化加快推进，中国共产党领导和我国社会主义制度优势进一步彰显；经济实力、科技实力、综合国力跃上新的大台阶，经济运行总体平稳，经济结构持续优化，预计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年国内生产总值突破一百万亿元；脱贫攻坚成果举世瞩目，五千五百七十五万农村贫困人口实现脱贫；粮食年产量连续五年稳定在一万三千亿斤以上；污染防治力度加大，生态环境明显改善；对外开放持续扩大，共建“一带一路”成果丰硕；人民生活水平显著提高，高等教育进入普及化阶段，城镇新增就业超过六千万人，建成世界上规模最大的社会保障体系，基本医疗保险覆盖超过十三亿人，基本养老保险覆盖近十亿人，新冠肺炎</w:t>
      </w:r>
      <w:r>
        <w:rPr>
          <w:rFonts w:hint="eastAsia" w:ascii="仿宋_GB2312" w:hAnsi="??" w:eastAsia="仿宋_GB2312" w:cs="宋体"/>
          <w:kern w:val="0"/>
          <w:sz w:val="32"/>
          <w:szCs w:val="32"/>
        </w:rPr>
        <w:t>疫情防控取得重大战略成果；文化事业和文化产业繁荣发展；国防和军队建设水平大幅提升，军队组织形态实现重大变革；国家安全全面加强，社会保持和谐稳定。“十三五”规划目标任务即将完成，全面建成小康社会胜利在望，中华民族伟大复兴向前迈出了新的一大步，社会主义中国以更加雄伟的身姿屹立于世界东方。全党全国各族人民要再接再厉、一鼓作气，确保如期打赢脱贫攻坚战，确保如期全面建成小康社会、实现第一个百年奋斗目标，为开启全面建设社会主义现代化国家新征程奠定坚实基础。</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2.我国发展环境面临深刻复杂变化。当前和今后一个时期，我国发展仍然处于重要战略机遇期，但机遇和挑战都有新的发展变化。当今世界正经历百年未有之大变局，新一轮科技革命和产业变革深入发展，国际力量对比深刻调整，和平与发展仍然是时代主题，人类命运共同体理念深入人心，同时国际环境日趋复杂，不稳定性不确定性明显增加，新冠肺炎疫情影响广泛深远，经济全球化遭遇逆流，世界进入动荡变革期，单边主义、保护主义、霸权主义对世界和平与发展构成威胁。我国已转向高质量发展阶段，制度优势显著，治理效能提升，经济长期向好，物质基础雄厚，人力资源丰富，市场空间广阔，发展韧性强劲，社会大局稳定，继续发展具有多方面优势和条件，同时我国发展不平衡不充分问题仍然突出，重点领域关键环节改革任务仍然艰巨，创新能力不适应高质量发展要求，农业基础还不稳固，城乡区域发展和收入分配差距较大，生态环保任重道远，民生保障存在短板，社会治理还有弱项。全党要统筹中华民族伟大复兴战略全局和世界百年未有之大变局，深刻认识我国社会主要矛盾变化带来的新特征新要求，深刻认识错综复杂的国际环境带来的新矛盾新挑战，增强机遇意识和风险意识，立足社会主义初级阶段基本国情，保持战略定力，办好自己的事，认识和把握发展规律，发扬斗争精神，树立底线思维，准确识变、科学应变、主动求变，善于在危机中育先机、于变局中开新局，抓住机遇，应对挑战，趋利避害，奋勇前进。</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3.到二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三五年基本实现社会主义现代化远景目标。党的十九大对实现第二个百年奋斗目标作出分两个阶段推进的战略安排，即到二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三五年基本实现社会主义现代化，到本世纪中叶把我国建成富强民主文明和谐美丽的社会主义现代化强国。展望二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三五年，我国经济实力、科技实力、综合国力将大幅跃升，经济总量和城乡居民人均收入将再迈上新的大台阶，关键核心技术实现重</w:t>
      </w:r>
      <w:r>
        <w:rPr>
          <w:rFonts w:hint="eastAsia" w:ascii="仿宋_GB2312" w:hAnsi="??" w:eastAsia="仿宋_GB2312" w:cs="宋体"/>
          <w:kern w:val="0"/>
          <w:sz w:val="32"/>
          <w:szCs w:val="32"/>
        </w:rPr>
        <w:t>大突破，进入创新型国家前列；基本实现新型工业化、信息化、城镇化、农业现代化，建成现代化经济体系；基本实现国家治理体系和治理能力现代化，人民平等参与、平等发展权利得到充分保障，基本建成法治国家、法治政府、法治社会；建成文化强国、教育强国、人才强国、体育强国、健康中国，国民素质和社会文明程度达到新高度，国家文化软实力显著增强；广泛形成绿色生产生活方式，碳排放达峰后稳中有降，生态环境根本好转，美丽中国建设目标基本实现；形成对外开放新格局，参与国际经济合作和竞争新优势明显增强；人均国内生产总值达到中等发达国家水平，中等收入群体显著扩大，基本公共服务实现均等化，城乡区域发展差距和居民生活水平差距显著缩小；平安中国建设达到更高水平，基本实现国防和军队现代化；人民生活更加美好，人的全面发展、全体人民共同富裕取得更为明显的实质性进展。</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二、“十四五”时期经济社会发展指导方针和主要目标</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4.“十四五”时期经济社会发展指导思想。高举中国特色社会主义伟大旗帜，深入贯彻党的十九大和十九届二中、三中、四中、五中全会精神，坚持以马克思列宁主义、毛泽东思想、邓小平理论、“三个代表”重要思想、科学发展观、习近平新时代中国特色社会主义思想为指导，全面贯彻党的基本理论、基本路线、基本方略，统筹推进经济建设、政治建设、文化建设、社会建设、生态文明建设的总体布局，协调推进全面建设社会主义现代化国家、全面深化改革、全面依法治国、全面从严治党的战略布局，坚定不移贯彻创新、协调、绿色、开放、共享的新发展理念，坚持稳中求进工作总基调，以推动高质量发展为主题，以深化供给侧结构性改革为主线，以改革创新为根本动力，以满足人民日益增长的美好生活需要为根本目的，统筹发展和安全，加快建设现代化经济体系，加快构建以国内大循环为主体、国内国际双循环相互促进的新发展格局，推进国家治理体系和治理能力现代化，实现经济行稳致远、社会安定和谐，为全面建设社会主义现代化国家开好局、起好步。</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5.“十四五”时期经济社会发展必须遵循的原则。</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——坚持党的全面领导。坚持和完善党领导经济社会发展的体制机制，坚持和完善中国特色社会主义制度，不断提高贯彻新发展理念、构建新发展格局能力和水平，为实现高质量发展提供根本保证。</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以人民为中心。坚持人民主体地位，坚持共同富裕方向，始终做到发展为了人民、发展依靠人民、发展成果由人民共享，维护人民根本利益，激发全体人民积极性、主动性、创造性，促进社会公平，增进民生福祉，不断实现人民对美好生活的向往。</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——坚持新发展理念。把新发展理念贯穿发展全过程和各领域，构建新发展格局，切实转变发展方式，推动质量变革、效率变革、动力变革，实现更高质量、更有效率、更加公平、更可持续、更为安全的发展。</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深化改革开放。坚定不移推进改革，坚定不移扩大开放，加强国家治理体系和治理能力现代化建设，破除制约高质量发展、高品质生活的体制机制障碍，强化有利于提高资源配置效率、有利于调动全社会积极性的重大改革开放举措，持续增强发展动力和活力。</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系统观念。加强前瞻性思考、全局性谋划、战略性布局、整体性推进，统筹国内国际两个大局，办好发展安全两件大事，坚持全国一盘棋，更好发挥中央、地方和各方面积极性，着力固根基、扬优势、补短板、强弱项，注重防范化解重大风险挑战，实现发展质量、结构、规模、速度、效益、安全相统一。</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6.“十四五”时期经济社会发展主要目标。锚定二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三五年远景目标，综合考虑国内外发展趋势和我国发展条件，坚持目标导向和问题导向相结合，坚持守正和创新相统一，今后五年经济社会发展要努力实现以下主要目标。</w:t>
      </w:r>
    </w:p>
    <w:p>
      <w:pPr>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经济发展取得新成效。发展是解决我国一切问题的基础和关键，发展必须坚持新发展理念，在质量效益明显提升的基础上实现经济持续健康发展，增长潜力充分发挥，国内市场更加强大，经济结构更加优化，创新能力显著提升，产业基础高级化、产业链现代化水平明显提高，农业基础更加稳固，城乡区域发展协调性明显增强，现代化经济体系建设取得重大进展。</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改革开放迈出新步伐。社会主义市场经济体制更加完善，高标准市场体系基本建成，市场主体更加充满活力，产权制度改革和要素市场化配置改革取得重大进展，公平竞争制度更加健全，更高水平开放型经济新体制基本形成。</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社会文明程度得到新提高。社会主义核心价值观深入人心，人民思想道德素质、科学文化素质和身心健康素质明显提高，公共文化服务体系和文化产业体系更加健全，人民精神文化生活日益丰富，中华文化影响力进一步提升，中华民族凝聚力进一步增强。</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生态文明建设实现新进步。国土空间开发保护格局得到优化，生产生活方式绿色转型成效显著，能源资源配置更加合理、利用效率大幅提高，主要污染物排放总量持续减少，生态环境持续改善，生态安全屏障更加牢固，城乡人居环境明显改善。</w:t>
      </w:r>
    </w:p>
    <w:p>
      <w:pPr>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民生福祉达到新水平。实现更加充分更高质量就业，居民收入增长和经济增长基本同步，分配结构明显改善，基本公共服务均等化水平明显提高，全民受教育程度不断提升，多层次社会保障体系更加健全，卫生健康体系更加完善，脱贫攻坚成果巩固拓展，乡村振兴战略全面推进。</w:t>
      </w:r>
    </w:p>
    <w:p>
      <w:pPr>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国家治理效能得到新提升。社会主义民主法治更加健全，社会公平正义进一步彰显，国家行政体系更加完善，政府作用更好发挥，行政效率和公信力显著提升，社会治理特别是基层治理水平明显提高，防范化解重大风险体制机制不断健全，突发公共事件应急能力显著增强，自然灾害防御水平明显提升，发展安全保障更加有力，国防和军队现代化迈出重大步伐。</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三、坚持创新驱动发展，全面塑造发展新优势</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创新在我国现代化建设全局中的核心地位，把科技自立自强作为国家发展的战略支撑，面向世界科技前沿、面向经济主战场、面向国家重大需求、面向人民生命健康，深入实施科教兴国战略、人才强国战略、创新驱动发展战略，完善国家创新体系，加快建设科技强国。</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7.强化国家战略科技力量。制定科技强国行动纲要，健全社会主义市场经济条件下新型举国体制，打好关键核心技术攻坚战，提高创新链整体效能。加强基础研究、注重原始创新，优化学科布局和研发布局，推进学科交叉融合，完善共性基础技术供给体系。瞄准人工智能、量子信息、集成电路、生命健康、脑科学、生物育种、空天科技、深地深海等前沿领域，实施一批具有前瞻性、战略性的国家重大科技项目。制定实施战略性科学计划和科学工程，推进科研院所、高校、企业科研力量优化配置和资源共享。推进国家实验室建设，重组国家重点实验室体系。布局建设综合性国家科学中心和区域性创新高地，支持北京、上海、粤港澳大湾区形成国际科技创新中心。构建国家科研论文和科技信息高端交流平台。</w:t>
      </w:r>
    </w:p>
    <w:p>
      <w:pPr>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8.提升企业技术创新能力。强化企业创新主体地位，促进各类创新要素向企业集聚。推进产学研深度融合，支持企业牵头组建创新联合体，承担国家重大科技项目。发挥企业家在技术创新中的重要作用，鼓励企业加大研发投入，对企业投入基础研究实行税收优惠。发挥大企业引领支撑作用，支持创新型中小微企业成长为创新重要发源地，加强共性技术平台建设，推动产业链上中下游、大中小企业融通创新。</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9.激发人才创新活力。贯彻尊重劳动、尊重知识、尊重人才、尊重创造方针，深化人才发展体制机制改革，全方位培养、引进、用好人才，造就更多国际一流的科技领军人才和创新团队，培养具有国际竞争力的青年科技人才后备军。健全以创新能力、质量、实效、贡献为导向的科技人才评价体系。加强学风建设，坚守学术诚信。深化院士制度改革。健全创新激励和保障机制，构建充分体现知识、技术等创新要素价值的收益分配机制，完善科研人员职务发明成果权益分享机制。加强创新型、应用型、技能型人才培养，实施知识更新工程、技能提升行动，壮大高水平工程师和高技能人才队伍。支持发展高水平研究型大学，加强基础研究人才培养。实行更加开放的人才政策，构筑集聚国内外优秀人才的科研创新高地。</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10.完善科技创新体制机制。深入推进科技体制改革，完善国家科技治理体系，优化国家科技规划体系和运行机制，推动重点领域项目、基地、人才、资金一体化配置。改进科技项目组织管理方式，实行“揭榜挂帅”等制度。完善科技评价机制，优化科技奖励项目。加快科研院所改革，扩大科研自主权。加强知识产权保护，大幅提高科技成果转移转化成效。加大研发投入，健全政府投入为主、社会多渠道投入机制，加大对基础前沿研究支持。完善金融支持创新体系，促进新技术产业化规模化应用。弘扬科学精神和工匠精神，加强科普工作，营造崇尚创新的社会氛围。健全科技伦理体系。促进科技开放合作，研究设立面向全球的科学研究基金。</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四、加快发展现代产业体系，推动经济体系优化升级</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坚持把发展经济着力点放在实体经济上，坚定不移建设制造强国、质量强国、网络强国、数字中国，推进产业基础高级化、产业链现代化，提高经济质量效益和核心竞争力。</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11.提升产业链供应链现代化水平。保持制造业比重基本稳定，巩固壮大实体经济根基。坚持自主可控、安全高效，分行业做好供应链战略设计和精准施策，推动全产业链优化升级。锻造产业链供应链长板，立足我国产业规模优势、配套优势和部分领域先发优势，打造新兴产业链，推动传统产业高端化、智能化、绿色化，发展服务型制造。完善国家质量基础设施，加强标准、计量、专利等体系和能力建设，深入开展质量提升行动。促进产业在国内有序转移，优化区域产业链布局，支持老工业基地转型发展。补齐产业链供应链短板，实施产业基础再造工程，加大重要产品和关键核心技术攻关力度，发展先进适用技术，推动产业链供应链多元化。优化产业链供应链发展环境，强化要素支撑。加强国际产业安全合作，形成具有更强创新力、更高附加值、更安全可靠的产业链供应链。</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12.发展战略性新兴产业。加快壮大新一代信息技术、生物技术、新能源、新材料、高端装备、新能源汽车、绿色环保以及航空航天、海洋装备等产业。推动互联网、大数据、人工智能等同各产业深度融合，推动先进制造业集群发展，构建一批各具特色、优势互补、结构合理的战略性新兴产业增长引擎，培育新技术、新产品、新业态、新模式。促进平台经济、共享经济健康发展。鼓励企业兼并重组，防止低水平重复建设。</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13.加快发展现代服务业。推动生产性服务业向专业化和价值链高端延伸，推动各类市场主体参与服务供给，加快发展研发设计、现代物流、法律服务等服务业，推动现代服务业同先进制造业、现代农业深度融合，加快推进服务业数字化。推动生活性服务业向高品质和多样化升级，加快发展健康、养老、育幼、文化、旅游、体育、家政、物业等服务业，加强公益性、基础性服务业供给。推进服务业标准化、品牌化建设。</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14.统筹推进基础设施建设。构建系统完备、高效实用、智能绿色、安全可靠的现代化基础设施体系。系统布局新型基础设施，加快第五代移动通信、工业互联网、大数据中心等建设。加快建设交通强国，完善综合运输大通道、综合交通枢纽和物流网络，加快城市群和都市圈轨道交通网络化，提高农村和边境地区交通通达深度。推进能源革命，完善能源产供储销体系，加强国内油气勘探开发，加快油气储备设施建设，加快全国干线油气管道建设，建设智慧能源系统，优化电力生产和输送通道布局，提升新能源消纳和存储能力，提升向边远地区输配电能力。加强水利基础设施建设，提升水资源优化配置和水旱灾害防御能力。</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15.加快数字化发展。发展数字经济，推进数字产业化和产业数字化，推动数字经济和实体经济深度融合，打造具有国际竞争力的数字产业集群。加强数字社会、数字政府建设，提升公共服务、社会治理等数字化智能化水平。建立数据资源产权、交易流通、跨境传输和安全保护等基础制度和标准规范，推动数据资源开发利用。扩大基础公共信息数据有序开放，建设国家数据统一共享开放平台。保障国家数据安全，加强个人信息保护。提升全民数字技能，实现信息服务全覆盖。积极参与数字领域国际规则和标准制定。</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五、形成强大国内市场，构建新发展格局</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坚持扩大内需这个战略基点，加快培育完整内需体系，把实施扩大内需战略同深化供给侧结构性改革有机结合起来，以创新驱动、高质量供给引领和创造新需求。</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16.畅通国内大循环。依托强大国内市场，贯通生产、分配、流通、消费各环节，打破行业垄断和地方保护，形成国民经济良性循环。优化供给结构，改善供给质量，提升供给体系对国内需求的适配性。推动金融、房地产同实体经济均衡发展，实现上下游、产供销有效衔接，促进农业、制造业、服务业、能源资源等产业门类关系协调。破除妨碍生产要素市场化配置和商品服务流通的体制机制障碍，降低全社会交易成本。完善扩大内需的政策支撑体系，形成需求牵引供给、供给创造需求的更高水平动态平衡。</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17.促进国内国际双循环。立足国内大循环，发挥比较优势，协同推进强大国内市场和贸易强国建设，以国内大循环吸引全球资源要素，充分利用国内国际两个市场两种资源，积极促进内需和外需、进口和出口、引进外资和对外投资协调发展，促进国际收支基本平衡。完善内外贸一体化调控体系，促进内外贸法律法规、监管体制、经营资质、质量标准、检验检疫、认证认可等相衔接，推进同线同标同质。优化国内国际市场布局、商品结构、贸易方式，提升出口质量，增加优质产品进口，实施贸易投资融合工程，构建现代物流体系。</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18.全面促进消费。增强消费对经济发展的基础性作用，顺应消费升级趋势，提升传统消费，培育新型消费，适当增加公共消费。以质量品牌为重点，促进消费向绿色、健康、安全发展，鼓励消费新模式新业态发展。推动汽车等消费品由购买管理向使用管理转变，促进住房消费健康发展。健全现代流通体系，发展无接触交易服务，降低企业流通成本，促进线上线下消费融合发展，开拓城乡消费市场。发展服务消费，放宽服务消费领域市场准入。完善节假日制度，落实带薪休假制度，扩大节假日消费。培育国际消费中心城市。改善消费环境，强化消费者权益保护。</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19.拓展投资空间。优化投资结构，保持投资合理增长，发挥投资对优化供给结构的关键作用。加快补齐基础设施、市政工程、农业农村、公共安全、生态环保、公共卫生、物资储备、防灾减灾、民生保障等领域短板，推动企业设备更新和技术改造，扩大战略性新兴产业投资。推进新型基础设施、新型城镇化、交通水利等重大工程建设，支持有利于城乡区域协调发展的重大项目建设。实施川藏铁路、西部陆海新通道、国家水网、雅鲁藏布江下游水电开发、星际探测、北斗产业化等重大工程，推进重大科研设施、重大生态系统保护修复、公共卫生应急保障、重大引调水、防洪减灾、送电输气、沿边沿江沿海交通等一批强基础、增功能、利长远的重大项目建设。发挥政府投资撬动作用，激发民间投资活力，形成市场主导的投资内生增长机制。</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六、全面深化改革，构建高水平社会主义市场经济体制</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坚持和完善社会主义基本经济制度，充分发挥市场在资源配置中的决定性作用，更好发挥政府作用，推动有效市场和有为政府更好结合。</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20.激发各类市场主体活力。毫不动摇巩固和发展公有制经济，毫不动摇鼓励、支持、引导非公有制经济发展。深化国资国企改革，做强做优做大国有资本和国有企业。加快国有经济布局优化和结构调整，发挥国有经济战略支撑作用。加快完善中国特色现代企业制度，深化国有企业混合所有制改革。健全管资本为主的国有资产监管体制，深化国有资本投资、运营公司改革。推进能源、铁路、电信、公用事业等行业竞争性环节市场化改革。优化民营经济发展环境，构建亲清政商关系，促进非公有制经济健康发展和非公有制经济人士健康成长，依法平等保护民营企业产权和企业家权益，破除制约民营企业发展的各种壁垒，完善促进中小微企业和个体工商户发展的法律环境和政策体系。弘扬企业家精神，加快建设世界一流企业。</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21.完善宏观经济治理。健全以国家发展规划为战略导向，以财政政策和货币政策为主要手段，就业、产业、投资、消费、环保、区域等政策紧密配合，目标优化、分工合理、高效协同的宏观经济治理体系。完善宏观经济政策制定和执行机制，重视预期管理，提高调控的科学性。加强国际宏观经济政策协调，搞好跨周期政策设计，提高逆周期调节能力，促进经济总量平衡、结构优化、内外均衡。加强宏观经济治理数据库等建设，提升大数据等现代技术手段辅助治理能力。推进统计现代化改革。</w:t>
      </w:r>
    </w:p>
    <w:p>
      <w:pPr>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22.建立现代财税金融体制。加强财政资源统筹，加强中期财政规划管理，增强国家重大战略任务财力保障。深化预算管理制度改革，强化对预算编制的宏观指导。推进财政支出标准化，强化预算约束和绩效管理。明确中央和地方政府事权与支出责任，健全省以下财政体制，增强基层公共服务保障能力。完善现代税收制度，健全地方税、直接税体系，优化税制结构，适当提高直接税比重，深化税收征管制度改革。健全政府债务管理制度。建设现代中央银行制度，完善货币供应调控机制，稳妥推进数字货币研发，健全市场化利率形成和传导机制。构建金融有效支持实体经济的体制机制，提升金融科技水平，增强金融普惠性。深化国有商业银行改革，支持中小银行和农村信用社持续健康发展，改革优化政策性金融。全面实行股票发行注册制，建立常态化退市机制，提高直接融资比重。推进金融双向开放。完善现代金融监管体系，提高金融监管透明度和法治化水平，完善存款保险制度，健全金融风险预防、预警、处置、问责制度体系，对违法违规行为零容忍。</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23.建设高标准市场体系。健全市场体系基础制度，坚持平等准入、公正监管、开放有序、诚信守法，形成高效规范、公平竞争的国内统一市场。实施高标准市场体系建设行动。健全产权执法司法保护制度。实施统一的市场准入负面清单制度。继续放宽准入限制。健全公平竞争审查机制，加强反垄断和反不正当竞争执法司法，提升市场综合监管能力。深化土地管理制度改革。推进土地、劳动力、资本、技术、数据等要素市场化改革。健全要素市场运行机制，完善要素交易规则和服务体系。</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24.加快转变政府职能。建设职责明确、依法行政的政府治理体系。深化简政放权、放管结合、优化服务改革，全面实行政府权责清单制度。持续优化市场化法治化国际化营商环境。实施涉企经营许可事项清单管理，加强事中事后监管，对新产业新业态实行包容审慎监管。健全重大政策事前评估和事后评价制度，畅通参与政策制定的渠道，提高决策科学化、民主化、法治化水平。推进政务服务标准化、规范化、便利化，深化政务公开。深化行业协会、商会和中介机构改革。</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七、优先发展农业农村，全面推进乡村振兴</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把解决好“三农”问题作为全党工作重中之重，走中国特色社会主义乡村振兴道路，全面实施乡村振兴战略，强化以工补农、以城带乡，推动形成工农互促、城乡互补、协调发展、共同繁荣的新型工农城乡关系，加快农业农村现代化。</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25.提高农业质量效益和竞争力。适应确保国计民生要求，以保障国家粮食安全为底线，健全农业支持保护制度。坚持最严格的耕地保护制度，深入实施藏粮于地、藏粮于技战略，加大农业水利设施建设力度，实施高标准农田建设工程，强化农业科技和装备支撑，提高农业良种化水平，健全动物防疫和农作物病虫害防治体系，建设智慧农业。强化绿色导向、标准引领和质量安全监管，建设农业现代化示范区。推动农业供给侧结构性改革，优化农业生产结构和区域布局，加强粮食生产功能区、重要农产品生产保护区和特色农产品优势区建设，推进优质粮食工程。完善粮食主产区利益补偿机制。保障粮、棉、油、糖、肉等重要农产品供给安全，提升收储调控能力。开展粮食节约行动。发展县域经济，推动农村一二三产业融合发展，丰富乡村经济业态，拓展农民增收空间。</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26.实施乡村建设行动。把乡村建设摆在社会主义现代化建设的重要位置。强化县城综合服务能力，把乡镇建成服务农民的区域中心。统筹县域城镇和村庄规划建设，保护传统村落和乡村风貌。完善乡村水、电、路、气、通信、广播电视、物流等基础设施，提升农房建设质量。因地制宜推进农村改厕、生活垃圾处理和污水治理，实施河湖水系综合整治，改善农村人居环境。提高农民科技文化素质，推动乡村人才振兴。</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27.深化农村改革。健全城乡融合发展机制，推动城乡要素平等交换、双向流动，增强农业农村发展活力。落实第二轮土地承包到期后再延长三十年政策，加快培育农民合作社、家庭农场等新型农业经营主体，健全农业专业化社会化服务体系，发展多种形式适度规模经营，实现小农户和现代农业有机衔接。健全城乡统一的建设用地市场，积极探索实施农村集体经营性建设用地入市制度。建立土地征收公共利益用地认定机制，缩小土地征收范围。探索宅基地所有权、资格权、使用权分置实现形式。保障进城落户农民土地承包权、宅基地使用权、集体收益分配权，鼓励依法自愿有偿转让。深化农村集体产权制度改革，发展新型农村集体经济。健全农村金融服务体系，发展农业保险。</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28.实现巩固拓展脱贫攻坚成果同乡村振兴有效衔接。建立农村低收入人口和欠发达地区帮扶机制，保持财政投入力度总体稳定，接续推进脱贫地区发展。健全防止返贫监测和帮扶机制，做好易地扶贫搬迁后续帮扶工作，加强扶贫项目资金资产管理和监督，推动特色产业可持续发展。健全农村社会保障和救助制度。在西部地区脱贫县中集中支持一批乡村振兴重点帮扶县，增强其巩固脱贫成果及内生发展能力。坚持和完善东西部协作和对口支援、社会力量参与帮扶等机制。</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八、优化国土空间布局，推进区域协调发展和新型城镇化</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坚持实施区域重大战略、区域协调发展战略、主体功能区战略，健全区域协调发展体制机制，完善新型城镇化战略，构建高质量发展的国土空间布局和支撑体系。</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29.构建国土空间开发保护新格局。立足资源环境承载能力，发挥各地比较优势，逐步形成城市化地区、农产品主产区、生态功能区三大空间格局，优化重大基础设施、重大生产力和公共资源布局。支持城市化地区高效集聚经济和人口、保护基本农田和生态空间，支持农产品主产区增强农业生产能力，支持生态功能区把发展重点放到保护生态环境、提供生态产品上，支持生态功能区的人口逐步有序转移，形成主体功能明显、优势互补、高质量发展的国土空间开发保护新格局。</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30.推动区域协调发展。推动西部大开发形成新格局，推动东北振兴取得新突破，促进中部地区加快崛起，鼓励东部地区加快推进现代化。支持革命老区、民族地区加快发展，加强边疆地区建设，推进兴边富民、稳边固边。推进京津冀协同发展、长江经济带发展、粤港澳大湾区建设、长三角一体化发展，打造创新平台和新增长极。推动黄河流域生态保护和高质量发展。高标准、高质量建设雄安新区。坚持陆海统筹，发展海洋经济，建设海洋强国。健全区域战略统筹、市场一体化发展、区域合作互助、区际利益补偿等机制，更好促进发达地区和欠发达地区、东中西部和东北地区共同发展。完善转移支付制度，加大对欠发达地区财力支持，逐步实现基本公共服务均等化。</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31.推进以人为核心的新型城镇化。实施城市更新行动，推进城市生态修复、功能完善工程，统筹城市规划、建设、管理，合理确定城市规模、人口密度、空间结构，促进大中小城市和小城镇协调发展。强化历史文化保护、塑造城市风貌，加强城镇老旧小区改造和社区建设，增强城市防洪排涝能力，建设海绵城市、韧性城市。提高城市治理水平，加强特大城市治理中的风险防控。坚持房子是用来住的、不是用来炒的定位，租购并举、因城施策，促进房地产市场平稳健康发展。有效增加保障性住房供给，完善土地出让收入分配机制，探索支持利用集体建设用地按照规划建设租赁住房，完善长租房政策，扩大保障性租赁住房供给。深化户籍制度改革，完善财政转移支付和城镇新增建设用地规模与农业转移人口市民化挂钩政策，强化基本公共服务保障，加快农业转移人口市民化。优化行政区划设置，发挥中心城市和城市群带动作用，建设现代化都市圈。推进成渝地区双城经济圈建设。推进以县城为重要载体的城镇化建设。</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九、繁荣发展文化事业和文化产业，提高国家文化软实力</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马克思主义在意识形态领域的指导地位，坚定文化自信，坚持以社会主义核心价值观引领文化建设，加强社会主义精神文明建设，围绕举旗帜、聚民心、育新人、兴文化、展形象的使命任务，促进满足人民文化需求和增强人民精神力量相统一，推进社会主义文化强国建设。</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32.提高社会文明程度。推动形成适应新时代要求的思想观念、精神面貌、文明风尚、行为规范。深入开展习近平新时代中国特色社会主义思想学习教育，推进马克思主义理论研究和建设工程。推动理想信念教育常态化制度化，加强党史、新中国史、改革开放史、社会主义发展史教育，加强爱国主义、集体主义、社会主义教育，弘扬党和人民在各个历史时期奋斗中形成的伟大精神，推进公民道德建设，实施文明创建工程，拓展新时代文明实践中心建设。健全志愿服务体系，广泛开展志愿服务关爱行动。弘扬诚信文化，推进诚信建设。提倡艰苦奋斗、勤俭节约，开展以劳动创造幸福为主题的宣传教育。加强家庭、家教、家风建设。加强网络文明建设，发展积极健康的网络文化。</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33.提升公共文化服务水平。全面繁荣新闻出版、广播影视、文学艺术、哲学社会科学事业。实施文艺作品质量提升工程，加强现实题材创作生产，不断推出反映时代新气象、讴歌人民新创造的文艺精品。推进媒体深度融合，实施全媒体传播工程，做强新型主流媒体，建强用好县级融媒体中心。推进城乡公共文化服务体系一体建设，创新实施文化惠民工程，广泛开展群众性文化活动，推动公共文化数字化建设。加强国家重大文化设施和文化项目建设，推进国家版本馆、国家文献储备库、智慧广电等工程。传承弘扬中华优秀传统文化，加强文物古籍保护、研究、利用，强化重要文化和自然遗产、非物质文化遗产系统性保护，加强各民族优秀传统手工艺保护和传承，建设长城、大运河、长征、黄河等国家文化公园。广泛开展全民健身运动，增强人民体质。筹办好北京冬奥会、冬残奥会。</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34.健全现代文化产业体系。坚持把社会效益放在首位、社会效益和经济效益相统一，深化文化体制改革，完善文化产业规划和政策，加强文化市场体系建设，扩大优质文化产品供给。实施文化产业数字化战略，加快发展新型文化企业、文化业态、文化消费模式。规范发展文化产业园区，推动区域文化产业带建设。推动文化和旅游融合发展，建设一批富有文化底蕴的世界级旅游景区和度假区，打造一批文化特色鲜明的国家级旅游休闲城市和街区，发展红色旅游和乡村旅游。以讲好中国故事为着力点，创新推进国际传播，加强对外文化交流和多层次文明对话。</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十、推动绿色发展，促进人与自然和谐共生</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绿水青山就是金山银山理念，坚持尊重自然、顺应自然、保护自然，坚持节约优先、保护优先、自然恢复为主，守住自然生态安全边界。深入实施可持续发展战略，完善生态文明领域统筹协调机制，构建生态文明体系，促进经济社会发展全面绿色转型，建设人与自然和谐共生的现代化。</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35.加快推动绿色低碳发展。强化国土空间规划和用途管控，落实生态保护、基本农田、城镇开发等空间管控边界，减少人类活动对自然空间的占用。强化绿色发展的法律和政策保障，发展绿色金融，支持绿色技术创新，推进清洁生产，发展环保产业，推进重点行业和重要领域绿色化改造。推动能源清洁低碳安全高效利用。发展绿色建筑。开展绿色生活创建活动。降低碳排放强度，支持有条件的地方率先达到碳排放峰值，制定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三</w:t>
      </w:r>
      <w:r>
        <w:rPr>
          <w:rFonts w:hint="eastAsia" w:ascii="宋体" w:hAnsi="宋体" w:cs="宋体"/>
          <w:kern w:val="0"/>
          <w:sz w:val="32"/>
          <w:szCs w:val="32"/>
        </w:rPr>
        <w:t>〇</w:t>
      </w:r>
      <w:r>
        <w:rPr>
          <w:rFonts w:hint="eastAsia" w:ascii="仿宋_GB2312" w:hAnsi="仿宋_GB2312" w:eastAsia="仿宋_GB2312" w:cs="仿宋_GB2312"/>
          <w:kern w:val="0"/>
          <w:sz w:val="32"/>
          <w:szCs w:val="32"/>
        </w:rPr>
        <w:t>年前碳排放达峰行动方案。</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36.持续改善环境质量。增强全社会生态环保意识，深入打好污染防治攻坚战。继续开展污染防治行动，建立地上地下、陆海统筹的生态环境治理制度。强化多污染物协同控制和区域协同治理，加强细颗粒物和臭氧协同控制，基本消除重污染天气。治理城乡生活环境，推进城镇污水管网全覆盖，基本消除城市黑臭水体。推进化肥农药减量化和土壤污染治理，加强白色污染治理。加强危险废物医疗废物收集处理。完成重点地区危险化学品生产企业搬迁改造。重视新污染物治理。全面实行排污许可制，推进排污权、用能权、用水权、碳排放权市场化交易。完善环境保护、节能减排约束性指标管理。完善中央生态环境保护督察制度。积极参与和引领应对气候变化等生态环保国际合作。</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37.提升生态系统质量和稳定性。坚持山水林田湖草系统治理，构建以国家公园为主体的自然保护地体系。实施生物多样性保护重大工程。加强外来物种管控。强化河湖长制，加强大江大河和重要湖泊湿地生态保护治理，实施好长江十年禁渔。科学推进荒漠化、石漠化、水土流失综合治理，开展大规模国土绿化行动，推行林长制。推行草原森林河流湖泊休养生息，加强黑土地保护，健全耕地休耕轮作制度。加强全球气候变暖对我国承受力脆弱地区影响的观测，完善自然保护地、生态保护红线监管制度，开展生态系统保护成效监测评估。</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38.全面提高资源利用效率。健全自然资源资产产权制度和法律法规，加强自然资源调查评价监测和确权登记，建立生态产品价值实现机制，完善市场化、多元化生态补偿，推进资源总量管理、科学配置、全面节约、循环利用。实施国家节水行动，建立水资源刚性约束制度。提高海洋资源、矿产资源开发保护水平。完善资源价格形成机制。推行垃圾分类和减量化、资源化。加快构建废旧物资循环利用体系。</w:t>
      </w:r>
    </w:p>
    <w:p>
      <w:pPr>
        <w:widowControl/>
        <w:spacing w:before="100" w:beforeAutospacing="1" w:after="100" w:afterAutospacing="1" w:line="540" w:lineRule="exact"/>
        <w:rPr>
          <w:rFonts w:ascii="黑体" w:hAnsi="黑体" w:eastAsia="黑体" w:cs="宋体"/>
          <w:kern w:val="0"/>
          <w:sz w:val="32"/>
          <w:szCs w:val="32"/>
        </w:rPr>
      </w:pPr>
      <w:r>
        <w:rPr>
          <w:rFonts w:hint="eastAsia" w:ascii="仿宋_GB2312" w:hAnsi="??" w:eastAsia="仿宋_GB2312" w:cs="宋体"/>
          <w:kern w:val="0"/>
          <w:sz w:val="32"/>
          <w:szCs w:val="32"/>
        </w:rPr>
        <w:t>　　</w:t>
      </w:r>
      <w:r>
        <w:rPr>
          <w:rFonts w:hint="eastAsia" w:ascii="黑体" w:hAnsi="黑体" w:eastAsia="黑体" w:cs="宋体"/>
          <w:kern w:val="0"/>
          <w:sz w:val="32"/>
          <w:szCs w:val="32"/>
        </w:rPr>
        <w:t>十一、实行高水平对外开放，开拓合作共赢新局面</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坚持实施更大范围、更宽领域、更深层次对外开放，依托我国大市场优势，促进国际合作，实现互利共赢。</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39.建设更高水平开放型经济新体制。全面提高对外开放水平，推动贸易和投资自由化便利化，推进贸易创新发展，增强对外贸易综合竞争力。完善外商投资准入前国民待遇加负面清单管理制度，有序扩大服务业对外开放，依法保护外资企业合法权益，健全促进和保障境外投资的法律、政策和服务体系，坚定维护中国企业海外合法权益，实现高质量引进来和高水平走出去。完善自由贸易试验区布局，赋予其更大改革自主权，稳步推进海南自由贸易港建设，建设对外开放新高地。稳慎推进人民币国际化，坚持市场驱动和企业自主选择，营造以人民币自由使用为基础的新型互利合作关系。发挥好中国国际进口博览会等重要展会平台作用。</w:t>
      </w:r>
    </w:p>
    <w:p>
      <w:pPr>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40.推动共建“一带一路”高质量发展。坚持共商共建共享原则，秉持绿色、开放、廉洁理念，深化务实合作，加强安全保障，促进共同发展。推进基础设施互联互通，拓展第三方市场合作。构筑互利共赢的产业链供应链合作体系，深化国际产能合作，扩大双向贸易和投资。坚持以企业为主体，以市场为导向，遵循国际惯例和债务可持续原则，健全多元化投融资体系。推进战略、规划、机制对接，加强政策、规则、标准联通。深化公共卫生、数字经济、绿色发展、科技教育合作，促进人文交流。</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41.积极参与全球经济治理体系改革。坚持平等协商、互利共赢，推动二十国集团等发挥国际经济合作功能。维护多边贸易体制，积极参与世界贸易组织改革，推动完善更加公正合理的全球经济治理体系。积极参与多双边区域投资贸易合作机制，推动新兴领域经济治理规则制定，提高参与国际金融治理能力。实施自由贸易区提升战略，构建面向全球的高标准自由贸易区网络。</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十二、改善人民生活品质，提高社会建设水平</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把实现好、维护好、发展好最广大人民根本利益作为发展的出发点和落脚点，尽力而为、量力而行，健全基本公共服务体系，完善共建共治共享的社会治理制度，扎实推动共同富裕，不断增强人民群众获得感、幸福感、安全感，促进人的全面发展和社会全面进步。</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42.提高人民收入水平。坚持按劳分配为主体、多种分配方式并存，提高劳动报酬在初次分配中的比重，完善工资制度，健全工资合理增长机制，着力提高低收入群体收入，扩大中等收入群体。完善按要素分配政策制度，健全各类生产要素由市场决定报酬的机制，探索通过土地、资本等要素使用权、收益权增加中低收入群体要素收入。多渠道增加城乡居民财产性收入。完善再分配机制，加大税收、社保、转移支付等调节力度和精准性，合理调节过高收入，取缔非法收入。发挥第三次分配作用，发展慈善事业，改善收入和财富分配格局。</w:t>
      </w:r>
    </w:p>
    <w:p>
      <w:pPr>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43.强化就业优先政策。千方百计稳定和扩大就业，坚持经济发展就业导向，扩大就业容量，提升就业质量，促进充分就业，保障劳动者待遇和权益。健全就业公共服务体系、劳动关系协调机制、终身职业技能培训制度。更加注重缓解结构性就业矛盾，加快提升劳动者技能素质，完善重点群体就业支持体系，统筹城乡就业政策体系。扩大公益性岗位安置，帮扶残疾人、零就业家庭成员就业。完善促进创业带动就业、多渠道灵活就业的保障制度，支持和规范发展新就业形态，健全就业需求调查和失业监测预警机制。</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44.建设高质量教育体系。全面贯彻党的教育方针，坚持立德树人，加强师德师风建设，培养德智体美劳全面发展的社会主义建设者和接班人。健全学校家庭社会协同育人机制，提升教师教书育人能力素质，增强学生文明素养、社会责任意识、实践本领，重视青少年身体素质和心理健康教育。坚持教育公益性原则，深化教育改革，促进教育公平，推动义务教育均衡发展和城乡一体化，完善普惠性学前教育和特殊教育、专门教育保障机制，鼓励高中阶段学校多样化发展。加大人力资本投入，增强职业技术教育适应性，深化职普融通、产教融合、校企合作，探索中国特色学徒制，大力培养技术技能人才。提高高等教育质量，分类建设一流大学和一流学科，加快培养理工农医类专业紧缺人才。提高民族地区教育质量和水平，加大国家通用语言文字推广力度。支持和规范民办教育发展，规范校外培训机构。发挥在线教育优势，完善终身学习体系，建设学习型社会。</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45.健全多层次社会保障体系。健全覆盖全民、统筹城乡、公平统一、可持续的多层次社会保障体系。推进社保转移接续，健全基本养老、基本医疗保险筹资和待遇调整机制。实现基本养老保险全国统筹，实施渐进式延迟法定退休年龄。发展多层次、多支柱养老保险体系。推动基本医疗保险、失业保险、工伤保险省级统筹，健全重大疾病医疗保险和救助制度，落实异地就医结算，稳步建立长期护理保险制度，积极发展商业医疗保险。健全灵活就业人员社保制度。健全退役军人工作体系和保障制度。健全分层分类的社会救助体系。坚持男女平等基本国策，保障妇女儿童合法权益。健全老年人、残疾人关爱服务体系和设施，完善帮扶残疾人、孤儿等社会福利制度。完善全国统一的社会保险公共服务平台。</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46.全面推进健康中国建设。把保障人民健康放在优先发展的战略位置，坚持预防为主的方针，深入实施健康中国行动，完善国民健康促进政策，织牢国家公共卫生防护网，为人民提供全方位全周期健康服务。改革疾病预防控制体系，强化监测预警、风险评估、流行病学调查、检验检测、应急处置等职能。建立稳定的公共卫生事业投入机制，加强人才队伍建设，改善疾控基础条件，完善公共卫生服务项目，强化基层公共卫生体系。落实医疗机构公共卫生责任，创新医防协同机制。完善突发公共卫生事件监测预警处置机制，健全医疗救治、科技支撑、物资保障体系，提高应对突发公共卫生事件能力。坚持基本医疗卫生事业公益属性，深化医药卫生体制改革，加快优质医疗资源扩容和区域均衡布局，加快建设分级诊疗体系，加强公立医院建设和管理考核，推进国家组织药品和耗材集中采购使用改革，发展高端医疗设备。支持社会办医，推广远程医疗。坚持中西医并重，大力发展中医药事业。提升健康教育、慢病管理和残疾康复服务质量，重视精神卫生和心理健康。深入开展爱国卫生运动，促进全民养成文明健康生活方式。完善全民健身公共服务体系。加快发展健康产业。</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47.实施积极应对人口老龄化国家战略。制定人口长期发展战略，优化生育政策，增强生育政策包容性，提高优生优育服务水平，发展普惠托育服务体系，降低生育、养育、教育成本，促进人口长期均衡发展，提高人口素质。积极开发老龄人力资源，发展银发经济。推动养老事业和养老产业协同发展，健全基本养老服务体系，发展普惠型养老服务和互助性养老，支持家庭承担养老功能，培育养老新业态，构建居家社区机构相协调、医养康养相结合的养老服务体系，健全养老服务综合监管制度。</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48.加强和创新社会治理。完善社会治理体系，健全党组织领导的自治、法治、德治相结合的城乡基层治理体系，完善基层民主协商制度，实现政府治理同社会调节、居民自治良性互动，建设人人有责、人人尽责、人人享有的社会治理共同体。发挥群团组织和社会组织在社会治理中的作用，畅通和规范市场主体、新社会阶层、社会工作者和志愿者等参与社会治理的途径。推动社会治理重心向基层下移，向基层放权赋能，加强城乡社区治理和服务体系建设，减轻基层特别是村级组织负担，加强基层社会治理队伍建设，构建网格化管理、精细化服务、信息化支撑、开放共享的基层管理服务平台。加强和创新市域社会治理，推进市域社会治理现代化。</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十三、统筹发展和安全，建设更高水平的平安中国</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坚持总体国家安全观，实施国家安全战略，维护和塑造国家安全，统筹传统安全和非传统安全，把安全发展贯穿国家发展各领域和全过程，防范和化解影响我国现代化进程的各种风险，筑牢国家安全屏障。</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49.加强国家安全体系和能力建设。完善集中统一、高效权威的国家安全领导体制，健全国家安全法治体系、战略体系、政策体系、人才体系和运行机制，完善重要领域国家安全立法、制度、政策。健全国家安全审查和监管制度，加强国家安全执法。加强国家安全宣传教育，增强全民国家安全意识，巩固国家安全人民防线。坚定维护国家政权安全、制度安全、意识形态安全，全面加强网络安全保障体系和能力建设。严密防范和严厉打击敌对势力渗透、破坏、颠覆、分裂活动。</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50.确保国家经济安全。加强经济安全风险预警、防控机制和能力建设，实现重要产业、基础设施、战略资源、重大科技等关键领域安全可控。实施产业竞争力调查和评价工程，增强产业体系抗冲击能力。确保粮食安全，保障能源和战略性矿产资源安全。维护水利、电力、供水、油气、交通、通信、网络、金融等重要基础设施安全，提高水资源集约安全利用水平。维护金融安全，守住不发生系统性风险底线。确保生态安全，加强核安全监管，维护新型领域安全。构建海外利益保护和风险预警防范体系。</w:t>
      </w:r>
    </w:p>
    <w:p>
      <w:pPr>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51.保障人民生命安全。坚持人民至上、生命至上，把保护人民生命安全摆在首位，全面提高公共安全保障能力。完善和落实安全生产责任制，加强安全生产监管执法，有效遏制危险化学品、矿山、建筑施工、交通等重特大安全事故。强化生物安全保护，提高食品药品等关系人民健康产品和服务的安全保障水平。提升洪涝干旱、森林草原火灾、地质灾害、地震等自然灾害防御工程标准，加快江河控制性工程建设，加快病险水库除险加固，全面推进堤防和蓄滞洪区建设。完善国家应急管理体系，加强应急物资保障体系建设，发展巨灾保险，提高防灾、减灾、抗灾、救灾能力。</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52.维护社会稳定和安全。正确处理新形势下人民内部矛盾，坚持和发展新时代“枫桥经验”，畅通和规范群众诉求表达、利益协调、权益保障通道，完善信访制度，完善各类调解联动工作体系，构建源头防控、排查梳理、纠纷化解、应急处置的社会矛盾综合治理机制。健全社会心理服务体系和危机干预机制。坚持专群结合、群防群治，加强社会治安防控体系建设，坚决防范和打击暴力恐怖、黑恶势力、新型网络犯罪和跨国犯罪，保持社会和谐稳定。</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十四、加快国防和军队现代化，实现富国和强军相统一</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贯彻习近平强军思想，贯彻新时代军事战略方针，坚持党对人民军队的绝对领导，坚持政治建军、改革强军、科技强军、人才强军、依法治军，加快机械化信息化智能化融合发展，全面加强练兵备战，提高捍卫国家主权、安全、发展利益的战略能力，确保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二七年实现建军百年奋斗目标。</w:t>
      </w:r>
    </w:p>
    <w:p>
      <w:pPr>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53.提高国防和军队现代化质量效益。加快军事理论现代化，与时俱进创新战争和战略指导，健全新时代军事战略体系，发展先进作战理论。加快军队组织形态现代化，深化国防和军队改革，推进军事管理革命，加快军兵种和武警部队转型建设，壮大战略力量和新域新质作战力量，打造高水平战略威慑和联合作战体系，加强军事力量联合训练、联合保障、联合运用。加快军事人员现代化，贯彻新时代军事教育方针，完善三位一体新型军事人才培养体系，锻造高素质专业化军事人才方阵。加快武器装备现代化，聚力国防科技自主创新、原始创新，加速战略性前沿性颠覆性技术发展，加速武器装备升级换代和智能化武器装备发展。</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54.促进国防实力和经济实力同步提升。同国家现代化发展相协调，搞好战略层面筹划，深化资源要素共享，强化政策制度协调，构建一体化国家战略体系和能力。推动重点区域、重点领域、新兴领域协调发展，集中力量实施国防领域重大工程。优化国防科技工业布局，加快标准化通用化进程。完善国防动员体系，健全强边固防机制，强化全民国防教育，巩固军政军民团结。</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十五、全党全国各族人民团结起来，为实现“十四五”规划和二〇</w:t>
      </w:r>
      <w:r>
        <w:rPr>
          <w:rFonts w:hint="eastAsia" w:ascii="黑体" w:hAnsi="黑体" w:eastAsia="黑体" w:cs="仿宋_GB2312"/>
          <w:kern w:val="0"/>
          <w:sz w:val="32"/>
          <w:szCs w:val="32"/>
        </w:rPr>
        <w:t>三五年远景目标而奋斗</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实现“十四五”规划和二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三五年</w:t>
      </w:r>
      <w:r>
        <w:rPr>
          <w:rFonts w:hint="eastAsia" w:ascii="仿宋_GB2312" w:hAnsi="??" w:eastAsia="仿宋_GB2312" w:cs="宋体"/>
          <w:kern w:val="0"/>
          <w:sz w:val="32"/>
          <w:szCs w:val="32"/>
        </w:rPr>
        <w:t>远景目标，必须坚持党的全面领导，充分调动一切积极因素，广泛团结一切可以团结的力量，形成推动发展的强大合力。</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55.加强党中央集中统一领导。贯彻党把方向、谋大局、定政策、促改革的要求，推动全党深入学习贯彻习近平新时代中国特色社会主义思想，增强“四个意识”、坚定“四个自信”、做到“两个维护”，完善上下贯通、执行有力的组织体系，确保党中央决策部署有效落实。落实全面从严治党主体责任、监督责任，提高党的建设质量。深入总结和学习运用中国共产党一百年的宝贵经验，教育引导广大党员、干部坚持共产主义远大理想和中国特色社会主义共同理想，不忘初心、牢记使命，为党和人民事业不懈奋斗。全面贯彻新时代党的组织路线，加强干部队伍建设，落实好干部标准，提高各级领导班子和干部适应新时代新要求抓改革、促发展、保稳定水平和专业化能力，加强对敢担当善作为干部的激励保护，以正确用人导向引领干事创业导向。完善人才工作体系，培养造就大批德才兼备的高素质人才。把严的主基调长期坚持下去，不断增强党自我净化、自我完善、自我革新、自我提高能力。锲而不舍落实中央八项规定精神，持续纠治形式主义、官僚主义，切实为基层减负。完善党和国家监督体系，加强政治监督，强化对公权力运行的制约和监督。坚持无禁区、全覆盖、零容忍，一体推进不敢腐、不能腐、不想腐，营造风清气正的良好政治生态。</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56.推进社会主义政治建设。坚持党的领导、人民当家作主、依法治国有机统一，推进中国特色社会主义政治制度自我完善和发展。坚持和完善人民代表大会制度，加强人大对“一府一委两院”的监督，保障人民依法通过各种途径和形式管理国家事务、管理经济文化事业、管理社会事务。坚持和完善中国共产党领导的多党合作和政治协商制度，加强人民政协专门协商机构建设，发挥社会主义协商民主独特优势，提高建言资政和凝聚共识水平。坚持和完善民族区域自治制度，全面贯彻党的民族政策，铸牢中华民族共同体意识，促进各民族共同团结奋斗、共同繁荣发展。全面贯彻党的宗教工作基本方针，积极引导宗教与社会主义社会相适应。健全基层群众自治制度，增强群众自我管理、自我服务、自我教育、自我监督实效。发挥工会、共青团、妇联等人民团体作用，把各自联系的群众紧紧凝聚在党的周围。完善大统战工作格局，促进政党关系、民族关系、宗教关系、阶层关系、海内外同胞关系和谐，巩固和发展大团结大联合局面。全面贯彻党的侨务政策，凝聚侨心、服务大局。坚持法治国家、法治政府、法治社会一体建设，完善以宪法为核心的中国特色社会主义法律体系，加强重点领域、新兴领域、涉外领域立法，提高依法行政水平，完善监察权、审判权、检察权运行和监督机制，促进司法公正，深入开展法治宣传教育，有效发挥法治固根本、稳预期、利长远的保障作用，推进法治中国建设。促进人权事业全面发展。</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57.保持香港、澳门长期繁荣稳定。全面准确贯彻“一国两制”、“港人治港”、“澳人治澳”、高度自治的方针，坚持依法治港治澳，维护宪法和基本法确定的特别行政区宪制秩序，落实中央对特别行政区全面管治权，落实特别行政区维护国家安全的法律制度和执行机制，维护国家主权、安全、发展利益和特别行政区社会大局稳定。支持特别行政区巩固提升竞争优势，建设国际创新科技中心，打造“一带一路”功能平台，实现经济多元可持续发展。支持香港、澳门更好融入国家发展大局，高质量建设粤港澳大湾区，完善便利港澳居民在内地发展政策措施。增强港澳同胞国家意识和爱国精神。支持香港、澳门同各国各地区开展交流合作。坚决防范和遏制外部势力干预港澳事务。</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58.推进两岸关系和平发展和祖国统一。坚持一个中国原则和“九二共识”，以两岸同胞福祉为依归，推动两岸关系和平发展、融合发展，加强两岸产业合作，打造两岸共同市场，壮大中华民族经济，共同弘扬中华文化。完善保障台湾同胞福祉和在大陆享受同等待遇的制度和政策，支持台商台企参与“一带一路”建设和国家区域协调发展战略，支持符合条件的台资企业在大陆上市，支持福建探索海峡两岸融合发展新路。加强两岸基层和青少年交流。高度警惕和坚决遏制“台独”分裂活动。</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59.积极营造良好外部环境。高举和平、发展、合作、共赢旗帜，坚持独立自主的和平外交政策，推进各领域各层级对外交往，推动构建新型国际关系和人类命运共同体。推进大国协调和合作，深化同周边国家关系，加强同发展中国家团结合作，积极发展全球伙伴关系。坚持多边主义和共商共建共享原则，积极参与全球治理体系改革和建设，加强涉外法治体系建设，加强国际法运用，维护以联合国为核心的国际体系和以国际法为基础的国际秩序，共同应对全球性挑战。积极参与重大传染病防控国际合作，推动构建人类卫生健康共同体。</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60.健全规划制定和落实机制。按照本次全会精神，制定国家和地方“十四五”规划纲要和专项规划，形成定位准确、边界清晰、功能互补、统一衔接的国家规划体系。健全政策协调和工作协同机制，完善规划实施监测评估机制，确保党中央关于“十四五”发展的决策部署落到实处。</w:t>
      </w:r>
    </w:p>
    <w:p>
      <w:pPr>
        <w:widowControl/>
        <w:spacing w:before="100" w:beforeAutospacing="1" w:after="100" w:afterAutospacing="1" w:line="540" w:lineRule="exact"/>
        <w:ind w:firstLine="640" w:firstLineChars="200"/>
        <w:rPr>
          <w:rFonts w:ascii="仿宋_GB2312" w:hAnsi="仿宋_GB2312" w:eastAsia="仿宋_GB2312" w:cs="仿宋_GB2312"/>
          <w:kern w:val="0"/>
          <w:sz w:val="32"/>
          <w:szCs w:val="32"/>
        </w:rPr>
      </w:pPr>
      <w:r>
        <w:rPr>
          <w:rFonts w:hint="eastAsia" w:ascii="仿宋_GB2312" w:hAnsi="??" w:eastAsia="仿宋_GB2312" w:cs="宋体"/>
          <w:kern w:val="0"/>
          <w:sz w:val="32"/>
          <w:szCs w:val="32"/>
        </w:rPr>
        <w:t>实现“十四五”规划和二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三五年远景目标，意义重大，任务艰巨，前景光明。全党全国各族人民要紧密团结在以习近平同志为核心的党中央周围，同心同德，顽强奋斗，夺取全面建设社会主义现代化国家新胜利！</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p>
    <w:p>
      <w:pPr>
        <w:widowControl/>
        <w:spacing w:before="100" w:beforeAutospacing="1" w:after="100" w:afterAutospacing="1" w:line="540" w:lineRule="exact"/>
        <w:ind w:firstLine="640" w:firstLineChars="200"/>
        <w:jc w:val="right"/>
        <w:rPr>
          <w:rFonts w:ascii="仿宋_GB2312" w:hAnsi="??" w:eastAsia="仿宋_GB2312" w:cs="宋体"/>
          <w:kern w:val="0"/>
          <w:sz w:val="32"/>
          <w:szCs w:val="32"/>
        </w:rPr>
      </w:pPr>
      <w:r>
        <w:rPr>
          <w:rFonts w:hint="eastAsia" w:ascii="仿宋_GB2312" w:hAnsi="??" w:eastAsia="仿宋_GB2312" w:cs="宋体"/>
          <w:kern w:val="0"/>
          <w:sz w:val="32"/>
          <w:szCs w:val="32"/>
        </w:rPr>
        <w:t xml:space="preserve">　　（新华社北京11月3日电）  </w:t>
      </w:r>
    </w:p>
    <w:p>
      <w:pPr>
        <w:widowControl/>
        <w:jc w:val="left"/>
        <w:rPr>
          <w:rFonts w:ascii="方正小标宋简体" w:eastAsia="方正小标宋简体"/>
          <w:sz w:val="44"/>
          <w:szCs w:val="44"/>
        </w:rPr>
      </w:pPr>
      <w:r>
        <w:rPr>
          <w:rFonts w:ascii="方正小标宋简体" w:eastAsia="方正小标宋简体"/>
          <w:sz w:val="44"/>
          <w:szCs w:val="44"/>
        </w:rPr>
        <w:br w:type="page"/>
      </w:r>
    </w:p>
    <w:p>
      <w:pPr>
        <w:spacing w:line="540" w:lineRule="exact"/>
        <w:jc w:val="center"/>
        <w:rPr>
          <w:rFonts w:ascii="方正小标宋简体" w:hAnsi="方正小标宋简体" w:eastAsia="方正小标宋简体" w:cs="方正小标宋简体"/>
          <w:sz w:val="44"/>
          <w:szCs w:val="44"/>
        </w:rPr>
      </w:pPr>
      <w:r>
        <w:rPr>
          <w:rFonts w:hint="eastAsia" w:ascii="方正小标宋简体" w:eastAsia="方正小标宋简体"/>
          <w:sz w:val="44"/>
          <w:szCs w:val="44"/>
        </w:rPr>
        <w:t>关于《中共中央关于制定国民经济和社会发展第十四个五年规划和二</w:t>
      </w:r>
      <w:r>
        <w:rPr>
          <w:rFonts w:hint="eastAsia" w:ascii="宋体" w:hAnsi="宋体" w:cs="宋体"/>
          <w:sz w:val="44"/>
          <w:szCs w:val="44"/>
        </w:rPr>
        <w:t>〇</w:t>
      </w:r>
      <w:r>
        <w:rPr>
          <w:rFonts w:hint="eastAsia" w:ascii="方正小标宋简体" w:hAnsi="方正小标宋简体" w:eastAsia="方正小标宋简体" w:cs="方正小标宋简体"/>
          <w:sz w:val="44"/>
          <w:szCs w:val="44"/>
        </w:rPr>
        <w:t>三五年</w:t>
      </w:r>
    </w:p>
    <w:p>
      <w:pPr>
        <w:spacing w:line="540" w:lineRule="exact"/>
        <w:jc w:val="center"/>
        <w:rPr>
          <w:rFonts w:ascii="方正小标宋简体" w:eastAsia="方正小标宋简体"/>
          <w:sz w:val="44"/>
          <w:szCs w:val="44"/>
        </w:rPr>
      </w:pPr>
      <w:r>
        <w:rPr>
          <w:rFonts w:hint="eastAsia" w:ascii="方正小标宋简体" w:hAnsi="方正小标宋简体" w:eastAsia="方正小标宋简体" w:cs="方正小标宋简体"/>
          <w:sz w:val="44"/>
          <w:szCs w:val="44"/>
        </w:rPr>
        <w:t>远景目标的建议》的说明</w:t>
      </w:r>
    </w:p>
    <w:p>
      <w:pPr>
        <w:widowControl/>
        <w:spacing w:before="100" w:beforeAutospacing="1" w:after="100" w:afterAutospacing="1" w:line="540" w:lineRule="exact"/>
        <w:jc w:val="center"/>
        <w:rPr>
          <w:rFonts w:ascii="仿宋_GB2312" w:hAnsi="??" w:eastAsia="仿宋_GB2312" w:cs="宋体"/>
          <w:kern w:val="0"/>
          <w:sz w:val="32"/>
          <w:szCs w:val="32"/>
        </w:rPr>
      </w:pPr>
      <w:r>
        <w:rPr>
          <w:rFonts w:hint="eastAsia" w:ascii="仿宋_GB2312" w:hAnsi="??" w:eastAsia="仿宋_GB2312" w:cs="宋体"/>
          <w:kern w:val="0"/>
          <w:sz w:val="32"/>
          <w:szCs w:val="32"/>
        </w:rPr>
        <w:t>习近平</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受中央政治局委托，我就《中共中央关于制定国民经济和社会发展第十四个五年规划和二</w:t>
      </w:r>
      <w:r>
        <w:rPr>
          <w:rFonts w:hint="eastAsia" w:ascii="宋体" w:hAnsi="宋体" w:cs="宋体"/>
          <w:kern w:val="0"/>
          <w:sz w:val="32"/>
          <w:szCs w:val="32"/>
        </w:rPr>
        <w:t>〇</w:t>
      </w:r>
      <w:r>
        <w:rPr>
          <w:rFonts w:hint="eastAsia" w:ascii="仿宋_GB2312" w:hAnsi="仿宋_GB2312" w:eastAsia="仿宋_GB2312" w:cs="仿宋_GB2312"/>
          <w:kern w:val="0"/>
          <w:sz w:val="32"/>
          <w:szCs w:val="32"/>
        </w:rPr>
        <w:t>三五年远景目标的建议》起草的有关情况向全会作说明。</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一、建议稿起草过程</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“十四五”时期是我国在全面建成小康社会、实现第一个百年奋斗目标之后，乘势而上开启全面建设社会主义现代化国家新征程、向第二个百年奋斗目标进军的第一个五年。</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今年3月，中央政治局决定，党的十九届五中全会审议“十四五”规划建议，成立文件起草组，由我担任组长，李克强同志、王沪宁同志、韩正同志担任副组长，有关部门和地方负责同志参加，在中央政治局常委会领导下承担建议稿起草工作。</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3月30日，党中央发出《关于对党的十九届五中全会研究“十四五”规划建议征求意见的通知》，在党内外一定范围征求意见。4月13日，文件起草组召开第一次全体会议，建议稿起草工作正式启动。</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从各方面反馈的意见看，大家一致认为，在“两个一百年”历史交汇点上，党的十九届五中全会重点研究“十四五”规划问题并提出建议，将“十四五”规划与2035年远景目标统筹考虑，对动员和激励全党全国各族人民，战胜前进道路上各种风险挑战，为全面建设社会主义现代化国家开好局、起好步，具有十分重要的意义。</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大家认为，我国发展仍然处于重要战略机遇期，但面临的国内外环境正在发生深刻复杂变化。我国有独特的政治优势、制度优势、发展优势和机遇优势，经济社会发展依然有诸多有利条件，我们完全有信心、有底气、有能力谱写“两大奇迹”新篇章。大家普遍希望，通过制定建议，明确“十四五”时期经济社会发展的基本思路、主要目标以及2035年远景目标，突出新发展理念的引领作用，提出一批具有标志性的重大战略，实施富有前瞻性、全局性、基础性、针对性的重大举措，统筹谋划好重要领域的接续改革，为实现第二个百年奋斗目标、实现中华民族伟大复兴的中国梦奠定坚实基础。</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这次建议稿起草的一个重要特点是坚持发扬民主、开门问策、集思广益。我就“十四五”规划编制明确提出一系列要求，强调要把加强顶层设计和坚持问计于民统一起来，鼓励广大人民群众和社会各界以各种方式为“十四五”规划建言献策。从7月下旬到9月下旬，我先后主持召开企业家座谈会、扎实推进长三角一体化发展座谈会、经济社会领域专家座谈会、科学家座谈会、基层代表座谈会、教育文化卫生体育领域专家代表座谈会，当面听取各方面对制定“十四五”规划的意见和建议。8月16日至29日，“十四五”规划编制工作开展网上征求意见。广大人民群众踊跃参与，留言100多万条，有关方面从中整理出1000余条建议。</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文件起草组广泛听取各方面意见和建议，反复进行讨论修改，认真做好建议稿起草工作。</w:t>
      </w:r>
    </w:p>
    <w:p>
      <w:pPr>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根据中央政治局会议决定，8月10日，建议稿下发党内一定范围征求意见，包括征求党内部分老同志意见，还专门听取了各民主党派中央、全国工商联负责人和无党派人士代表意见。</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从征求意见情况看，各地区各部门对建议稿给予充分肯定。大家一致认为，建议稿形势判断科学清醒，目标要求高远务实，指导方针旗帜鲜明，任务部署指向明确，为编制“十四五”规划《纲要》指明了前进方向、提供了重要遵循。建议稿坚持立足国内和全球视野相统筹，坚持问题导向和目标导向相统一，坚持中长期目标和短期目标相贯通，坚持全面规划和突出重点相协调，聚焦突出问题和明显短板，回应人民群众诉求和期盼，有利于把“十四五”规划编制好、实施好。</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在征求意见过程中，各方面提出了许多好的意见和建议，主要有以下几个方面。一是充分总结经验，补充全面从严治党、农业发展、文化建设、国家安全等方面内容。二是深化形势环境分析，补充改革任务仍然艰巨、办好自己的事、树立底线思维等方面内容。三是丰富指导思想和原则，强化以人民为中心、扩大对外开放、全面依法治国、统筹发展和安全等方面内容。四是完善“十四五”发展目标和2035年远景目标，补充缩小发展差距、促进共同富裕等方面内容。五是强化推进创新驱动发展的重大举措，充实有关完善国家创新体系、强化国家战略科技力量、健全创新激励机制和改革科技体制等方面内容。六是更加突出实体经济在国民经济中的重要地位，充实加快建设现代化经济体系、加快构建新发展格局等方面内容。七是更好坚持和完善社会主义基本经济制度，充实促进各类所有制经济共同发展、完善重要财税金融制度等方面内容。八是完善新型城镇化战略，充实城市规划建设管理等方面内容。九是更加重视促进人的全面发展和社会全面进步，强化建设高质量教育体系、健全社会保障体系、全面推进健康中国建设等方面内容。十是把维护国家安全放在更加突出的位置，筑牢国家安全屏障，充实保障国家经济安全、维护社会稳定和安全等方面内容。</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文件起草组逐条分析各方面意见和建议，做到了能吸收的尽量吸收，对建议稿增写、改写、精简文字共计366处，覆盖各方面意见和建议546条。这是我国党内民主和社会主义民主的生动实践。</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建议稿起草期间，中央政治局常委会召开3次会议、中央政治局召开2次会议分别进行审议，形成了提交这次全会审议的建议稿。</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二、建议稿的主要考虑和基本框架</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建议稿起草的总体考虑是，按照党的十九大对实现第二个百年奋斗目标作出的分两个阶段推进的战略安排，综合考虑未来一个时期国内外发展趋势和我国发展条件，紧紧抓住我国社会主要矛盾，深入贯彻新发展理念，对“十四五”时期我国发展作出系统谋划和战略部署。</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在建议稿起草过程中，注意把握了以下原则。一是处理好继承和创新的关系，做好“两个一百年”奋斗目标有机衔接。二是处理好政府和市场的关系，更好发挥我国制度优势。三是处理好开放和自主的关系，更好统筹国内国际两个大局。四是处理好发展和安全的关系，有效防范和应对可能影响现代化进程的系统性风险。五是处理好战略和战术的关系，制定出一个高瞻远瞩、务实管用的规划建议。</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建议稿由15个部分构成，分为三大板块。第一板块为总论，包括第一、第二两个部分，主要阐述决胜全面建成小康社会取得决定性成就、我国发展环境面临深刻复杂变化、到2035年基本实现社会主义现代化远景目标、“十四五”时期经济社会发展指导思想、必须遵循的原则和主要目标。第二板块为分论，总体上按照新发展理念的内涵来组织，分领域阐述“十四五”时期经济社会发展和改革开放的重点任务，安排了12个部分，明确了从科技创新、产业发展、国内市场、深化改革、乡村振兴、区域发展，到文化建设、绿色发展、对外开放、社会建设、安全发展、国防建设等重点领域的思路和重点工作，作出工作部署。第三板块为结尾，包括第十五部分和结束语，主要阐述加强党中央集中统一领导、推进社会主义政治建设、健全规划制定和落实机制等内容。</w:t>
      </w:r>
    </w:p>
    <w:p>
      <w:pPr>
        <w:widowControl/>
        <w:spacing w:before="100" w:beforeAutospacing="1" w:after="100" w:afterAutospacing="1" w:line="540" w:lineRule="exact"/>
        <w:ind w:firstLine="640" w:firstLineChars="200"/>
        <w:rPr>
          <w:rFonts w:ascii="黑体" w:hAnsi="黑体" w:eastAsia="黑体" w:cs="宋体"/>
          <w:kern w:val="0"/>
          <w:sz w:val="32"/>
          <w:szCs w:val="32"/>
        </w:rPr>
      </w:pPr>
      <w:r>
        <w:rPr>
          <w:rFonts w:hint="eastAsia" w:ascii="黑体" w:hAnsi="黑体" w:eastAsia="黑体" w:cs="宋体"/>
          <w:kern w:val="0"/>
          <w:sz w:val="32"/>
          <w:szCs w:val="32"/>
        </w:rPr>
        <w:t>三、需要说明的几个重点问题</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建议稿提出了一些重要观点和论述。这里，就其中几点作个简要说明。</w:t>
      </w:r>
    </w:p>
    <w:p>
      <w:pPr>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第一，关于以推动高质量发展为主题。建议稿提出，“十四五”时期经济社会发展要以推动高质量发展为主题，这是根据我国发展阶段、发展环境、发展条件变化作出的科学判断。我国仍处于并将长期处于社会主义初级阶段，我国仍然是世界上最大的发展中国家，发展仍然是我们党执政兴国的第一要务。必须强调的是，新时代新阶段的发展必须贯彻新发展理念，必须是高质量发展。当前，我国社会主要矛盾已经转化为人民日益增长的美好生活需要和不平衡不充分的发展之间的矛盾，发展中的矛盾和问题集中体现在发展质量上。这就要求我们必须把发展质量问题摆在更为突出的位置，着力提升发展质量和效益。</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当今世界正经历百年未有之大变局，我国发展的外部环境日趋复杂。防范化解各类风险隐患，积极应对外部环境变化带来的冲击挑战，关键在于办好自己的事，提高发展质量，提高国际竞争力，增强国家综合实力和抵御风险能力，有效维护国家安全，实现经济行稳致远、社会和谐安定。经济、社会、文化、生态等各领域都要体现高质量发展的要求。</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以推动高质量发展为主题，必须坚定不移贯彻新发展理念，以深化供给侧结构性改革为主线，坚持质量第一、效益优先，切实转变发展方式，推动质量变革、效率变革、动力变革，使发展成果更好惠及全体人民，不断实现人民对美好生活的向往。</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第二，关于构建以国内大循环为主体、国内国际双循环相互促进的新发展格局。构建新发展格局，是与时俱进提升我国经济发展水平的战略抉择，也是塑造我国国际经济合作和竞争新优势的战略抉择。改革开放以来特别是加入世贸组织后，我国加入国际大循环，市场和资源“两头在外”，形成“世界工厂”发展模式，对我国快速提升经济实力、改善人民生活发挥了重要作用。近几年，随着全球政治经济环境变化，逆全球化趋势加剧，有的国家大搞单边主义、保护主义，传统国际循环明显弱化。在这种情况下，必须把发展立足点放在国内，更多依靠国内市场实现经济发展。我国有14亿人口，人均国内生产总值已经突破1万美元，是全球最大和最有潜力的消费市场，具有巨大增长空间。改革开放以来，我们遭遇过很多外部风险冲击，最终都能化险为夷，靠的就是办好自己的事、把发展立足点放在国内。</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构建新发展格局，要坚持扩大内需这个战略基点，使生产、分配、流通、消费更多依托国内市场，形成国民经济良性循环。要坚持供给侧结构性改革的战略方向，提升供给体系对国内需求的适配性，打通经济循环堵点，提升产业链、供应链的完整性，使国内市场成为最终需求的主要来源，形成需求牵引供给、供给创造需求的更高水平动态平衡。新发展格局决不是封闭的国内循环，而是开放的国内国际双循环。推动形成宏大顺畅的国内经济循环，就能更好吸引全球资源要素，既满足国内需求，又提升我国产业技术发展水平，形成参与国际经济合作和竞争新优势。</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第三，关于“十四五”和到2035年经济发展目标。在征求意见过程中，一些地方和部门建议，明确提出“十四五”经济增长速度目标，明确提出到2035年实现经济总量或人均收入翻一番目标。文件起草组经过认真研究和测算，认为从经济发展能力和条件看，我国经济有希望、有潜力保持长期平稳发展，到“十四五”末达到现行的高收入国家标准、到2035年实现经济总量或人均收入翻一番，是完全有可能的。同时，考虑到未来一个时期外部环境中不稳定不确定因素较多，存在不少可能冲击国内经济发展的风险隐患，新冠肺炎疫情全球大流行影响深远，世界经济可能持续低迷，中长期规划目标要更加注重经济结构优化，引导各方面把工作重点放在提高发展质量和效益上。</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党中央的建议主要是管大方向、定大战略的。综合考虑各方面因素，建议稿对“十四五”和到2035年经济发展目标采取了以定性表述为主、蕴含定量的方式。编制规划《纲要》时可以在认真测算基础上提出相应的量化目标。</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第四，关于促进全体人民共同富裕。共同富裕是社会主义的本质要求，是人民群众的共同期盼。我们推动经济社会发展，归根结底是要实现全体人民共同富裕。新中国成立以来特别是改革开放以来，我们党团结带领人民向着实现共同富裕的目标不懈努力，人民生活水平不断提高。党的十八大以来，我们把脱贫攻坚作为重中之重，使现行标准下农村贫困人口全部脱贫，就是促进全体人民共同富裕的一项重大举措。当前，我国发展不平衡不充分问题仍然突出，城乡区域发展和收入分配差距较大，促进全体人民共同富裕是一项长期任务，但随着我国全面建成小康社会、开启全面建设社会主义现代化国家新征程，我们必须把促进全体人民共同富裕摆在更加重要的位置，脚踏实地，久久为功，向着这个目标更加积极有为地进行努力。为此，建议稿在到2035年基本实现社会主义现代化远景目标中提出“全体人民共同富裕取得更为明显的实质性进展”，在改善人民生活品质部分突出强调了“扎实推动共同富裕”，提出了一些重要要求和重大举措。这样表述，在党的全会文件中还是第一次，既指明了前进方向和奋斗目标，也是实事求是、符合发展规律的，兼顾了需要和可能，有利于在工作中积极稳妥把握，在促进全体人民共同富裕的道路上不断向前迈进。</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第五，关于统筹发展和安全。我们越来越深刻地认识到，安全是发展的前提，发展是安全的保障。当前和今后一个时期是我国各类矛盾和风险易发期，各种可以预见和难以预见的风险因素明显增多。我们必须坚持统筹发展和安全，增强机遇意识和风险意识，树立底线思维，把困难估计得更充分一些，把风险思考得更深入一些，注重堵漏洞、强弱项，下好先手棋、打好主动仗，有效防范化解各类风险挑战，确保社会主义现代化事业顺利推进。</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基于上述认识，建议稿设置专章对统筹发展和安全、加快国防和军队现代化等作出战略部署，强调要坚持总体国家安全观，加强国家安全体系和能力建设，筑牢国家安全屏障。</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第六，关于坚持系统观念。建议稿提出，“十四五”时期经济社会发展必须遵循坚持系统观念的原则。党的十八大以来，党中央坚持系统谋划、统筹推进党和国家各项事业，根据新的实践需要，形成一系列新布局和新方略，带领全党全国各族人民取得了历史性成就。在这个过程中，系统观念是具有基础性的思想和工作方法。</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全面建成小康社会后，我们将开启全面建设社会主义现代化国家新征程，我国发展环境面临深刻复杂变化，发展不平衡不充分问题仍然突出，经济社会发展中矛盾错综复杂，必须从系统观念出发加以谋划和解决，全面协调推动各领域工作和社会主义现代化建设。</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第七，关于全面建成小康社会的完成情况和宣布时机。到建党100周年时，全面建成惠及十几亿人口的更高水平的小康社会，是我们党进入新世纪后，在基本建成小康社会基础上提出的奋斗目标，是对人民的庄严承诺。自改革开放之初党中央提出小康社会的战略构想以来，我们把人民对美好生活的向往作为奋斗目标，几代人一以贯之、接续奋斗。“十三五”时期是全面建成小康社会决胜阶段，我们突出抓重点、补短板、强弱项，坚决打好防范化解重大风险、精准脱贫、污染防治的攻坚战，取得一系列新的重大成就。突如其来的新冠肺炎疫情对我国经济社会发展带来了很大不利影响。在党中央坚强领导下，经过全国人民共同努力，新冠肺炎疫情防控取得重大战略成果，我国经济社会恢复走在全球前列，主要经济指标趋好，社会民生得到有效保障。预计今年我国国内生产总值超过100万亿元人民币，人民生活水平显著提高，现行标准下农村贫困人口全面脱贫，“十三五”规划确定的发展目标可以如期完成，全面建成小康社会目标可以如期实现。</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考虑到目前仍是全面建成小康社会进行时，建议稿表述为“决胜全面建成小康社会取得决定性成就”。明年上半年党中央将对全面建成小康社会进行系统评估和总结，然后正式宣布我国全面建成小康社会。</w:t>
      </w:r>
    </w:p>
    <w:p>
      <w:pPr>
        <w:widowControl/>
        <w:spacing w:before="100" w:beforeAutospacing="1" w:after="100" w:afterAutospacing="1" w:line="540" w:lineRule="exact"/>
        <w:ind w:firstLine="640" w:firstLineChars="200"/>
        <w:rPr>
          <w:rFonts w:ascii="仿宋_GB2312" w:hAnsi="??" w:eastAsia="仿宋_GB2312" w:cs="宋体"/>
          <w:kern w:val="0"/>
          <w:sz w:val="32"/>
          <w:szCs w:val="32"/>
        </w:rPr>
      </w:pPr>
      <w:r>
        <w:rPr>
          <w:rFonts w:hint="eastAsia" w:ascii="仿宋_GB2312" w:hAnsi="??" w:eastAsia="仿宋_GB2312" w:cs="宋体"/>
          <w:kern w:val="0"/>
          <w:sz w:val="32"/>
          <w:szCs w:val="32"/>
        </w:rPr>
        <w:t>同志们！审议通过“十四五”规划和2035年远景目标建议，是这次全会的主要任务。大家要认真思考、深入讨论，提出建设性意见和建议，制定出一份高水平的规划建议。让我们同心协力、集思广益，共同把这次全会开好！</w:t>
      </w:r>
    </w:p>
    <w:p>
      <w:pPr>
        <w:widowControl/>
        <w:spacing w:before="100" w:beforeAutospacing="1" w:after="100" w:afterAutospacing="1" w:line="540" w:lineRule="exact"/>
        <w:rPr>
          <w:rFonts w:ascii="仿宋_GB2312" w:hAnsi="??" w:eastAsia="仿宋_GB2312" w:cs="宋体"/>
          <w:kern w:val="0"/>
          <w:sz w:val="32"/>
          <w:szCs w:val="32"/>
        </w:rPr>
      </w:pPr>
    </w:p>
    <w:p>
      <w:pPr>
        <w:widowControl/>
        <w:spacing w:before="100" w:beforeAutospacing="1" w:after="100" w:afterAutospacing="1" w:line="540" w:lineRule="exact"/>
        <w:ind w:firstLine="640" w:firstLineChars="200"/>
        <w:jc w:val="right"/>
        <w:rPr>
          <w:rFonts w:ascii="仿宋_GB2312" w:hAnsi="??" w:eastAsia="仿宋_GB2312" w:cs="宋体"/>
          <w:kern w:val="0"/>
          <w:sz w:val="32"/>
          <w:szCs w:val="32"/>
        </w:rPr>
      </w:pPr>
    </w:p>
    <w:p>
      <w:pPr>
        <w:widowControl/>
        <w:spacing w:before="100" w:beforeAutospacing="1" w:after="100" w:afterAutospacing="1" w:line="540" w:lineRule="exact"/>
        <w:ind w:firstLine="640" w:firstLineChars="200"/>
        <w:jc w:val="right"/>
        <w:rPr>
          <w:rFonts w:ascii="仿宋_GB2312" w:hAnsi="??" w:eastAsia="仿宋_GB2312" w:cs="宋体"/>
          <w:kern w:val="0"/>
          <w:sz w:val="32"/>
          <w:szCs w:val="32"/>
        </w:rPr>
      </w:pPr>
      <w:r>
        <w:rPr>
          <w:rFonts w:hint="eastAsia" w:ascii="仿宋_GB2312" w:hAnsi="??" w:eastAsia="仿宋_GB2312" w:cs="宋体"/>
          <w:kern w:val="0"/>
          <w:sz w:val="32"/>
          <w:szCs w:val="32"/>
        </w:rPr>
        <w:t>（来源：求是网）</w:t>
      </w:r>
    </w:p>
    <w:p>
      <w:pPr>
        <w:spacing w:before="100" w:beforeAutospacing="1" w:after="100" w:afterAutospacing="1" w:line="540" w:lineRule="exact"/>
        <w:jc w:val="center"/>
        <w:rPr>
          <w:rFonts w:ascii="方正小标宋简体" w:eastAsia="方正小标宋简体"/>
          <w:sz w:val="44"/>
          <w:szCs w:val="44"/>
        </w:rPr>
      </w:pPr>
    </w:p>
    <w:p>
      <w:pPr>
        <w:widowControl/>
        <w:jc w:val="left"/>
        <w:rPr>
          <w:rFonts w:ascii="方正小标宋简体" w:eastAsia="方正小标宋简体"/>
          <w:sz w:val="44"/>
          <w:szCs w:val="44"/>
        </w:rPr>
      </w:pPr>
      <w:r>
        <w:rPr>
          <w:rFonts w:ascii="方正小标宋简体" w:eastAsia="方正小标宋简体"/>
          <w:sz w:val="44"/>
          <w:szCs w:val="44"/>
        </w:rPr>
        <w:br w:type="page"/>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70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rPr>
        <w:t>习近平在江苏考察时强调</w:t>
      </w:r>
      <w:r>
        <w:rPr>
          <w:rFonts w:hint="eastAsia" w:ascii="方正小标宋简体" w:eastAsia="方正小标宋简体"/>
          <w:sz w:val="44"/>
          <w:szCs w:val="44"/>
          <w:lang w:eastAsia="zh-CN"/>
        </w:rPr>
        <w:t>：</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700" w:lineRule="exact"/>
        <w:jc w:val="center"/>
        <w:textAlignment w:val="auto"/>
        <w:rPr>
          <w:rFonts w:hint="eastAsia" w:ascii="仿宋_GB2312" w:hAnsi="??" w:eastAsia="仿宋_GB2312" w:cs="宋体"/>
          <w:kern w:val="0"/>
          <w:sz w:val="32"/>
          <w:szCs w:val="32"/>
        </w:rPr>
      </w:pPr>
      <w:r>
        <w:rPr>
          <w:rFonts w:hint="eastAsia" w:ascii="方正小标宋简体" w:eastAsia="方正小标宋简体"/>
          <w:sz w:val="44"/>
          <w:szCs w:val="44"/>
        </w:rPr>
        <w:t>贯彻新发展理念构建新发展格局</w:t>
      </w:r>
      <w:r>
        <w:rPr>
          <w:rFonts w:hint="eastAsia" w:ascii="方正小标宋简体" w:eastAsia="方正小标宋简体"/>
          <w:sz w:val="44"/>
          <w:szCs w:val="44"/>
        </w:rPr>
        <w:br w:type="textWrapping"/>
      </w:r>
      <w:r>
        <w:rPr>
          <w:rFonts w:hint="eastAsia" w:ascii="方正小标宋简体" w:eastAsia="方正小标宋简体"/>
          <w:sz w:val="44"/>
          <w:szCs w:val="44"/>
        </w:rPr>
        <w:t>推动经济社会高质量发展可持续发展</w:t>
      </w:r>
    </w:p>
    <w:p>
      <w:pPr>
        <w:widowControl/>
        <w:spacing w:before="100" w:beforeAutospacing="1" w:after="100" w:afterAutospacing="1" w:line="540" w:lineRule="exact"/>
        <w:ind w:firstLine="640" w:firstLineChars="200"/>
        <w:rPr>
          <w:rFonts w:hint="eastAsia" w:ascii="仿宋_GB2312" w:hAnsi="??" w:eastAsia="仿宋_GB2312" w:cs="宋体"/>
          <w:kern w:val="0"/>
          <w:sz w:val="32"/>
          <w:szCs w:val="32"/>
        </w:rPr>
      </w:pPr>
      <w:r>
        <w:rPr>
          <w:rFonts w:hint="eastAsia" w:ascii="仿宋_GB2312" w:hAnsi="??" w:eastAsia="仿宋_GB2312" w:cs="宋体"/>
          <w:kern w:val="0"/>
          <w:sz w:val="32"/>
          <w:szCs w:val="32"/>
        </w:rPr>
        <w:t>■ 要全面把握新发展阶段的新任务新要求，坚定不移贯彻新发展理念、构建新发展格局，坚持稳中求进工作总基调，统筹发展和安全，把保护生态环境摆在更加突出的位置，推动经济社会高质量发展、可持续发展，着力在改革创新、推动高质量发展上争当表率，在服务全国构建新发展格局上争做示范，在率先实现社会主义现代化上走在前列</w:t>
      </w:r>
    </w:p>
    <w:p>
      <w:pPr>
        <w:widowControl/>
        <w:spacing w:before="100" w:beforeAutospacing="1" w:after="100" w:afterAutospacing="1" w:line="540" w:lineRule="exact"/>
        <w:ind w:firstLine="640" w:firstLineChars="200"/>
        <w:rPr>
          <w:rFonts w:hint="eastAsia" w:ascii="仿宋_GB2312" w:hAnsi="??" w:eastAsia="仿宋_GB2312" w:cs="宋体"/>
          <w:kern w:val="0"/>
          <w:sz w:val="32"/>
          <w:szCs w:val="32"/>
        </w:rPr>
      </w:pPr>
      <w:r>
        <w:rPr>
          <w:rFonts w:hint="eastAsia" w:ascii="仿宋_GB2312" w:hAnsi="??" w:eastAsia="仿宋_GB2312" w:cs="宋体"/>
          <w:kern w:val="0"/>
          <w:sz w:val="32"/>
          <w:szCs w:val="32"/>
        </w:rPr>
        <w:t>■ 生态环境投入不是无谓投入、无效投入，而是关系经济社会高质量发展、可持续发展的基础性、战略性投入。要坚决贯彻新发展理念，转变发展方式，优化发展思路，实现生态效益和经济社会效益相统一，走出一条生态优先、绿色发展的新路子，为长江经济带高质量发展、可持续发展提供有力支撑</w:t>
      </w:r>
    </w:p>
    <w:p>
      <w:pPr>
        <w:widowControl/>
        <w:spacing w:before="100" w:beforeAutospacing="1" w:after="100" w:afterAutospacing="1" w:line="540" w:lineRule="exact"/>
        <w:ind w:firstLine="640" w:firstLineChars="200"/>
        <w:rPr>
          <w:rFonts w:hint="eastAsia" w:ascii="仿宋_GB2312" w:hAnsi="??" w:eastAsia="仿宋_GB2312" w:cs="宋体"/>
          <w:kern w:val="0"/>
          <w:sz w:val="32"/>
          <w:szCs w:val="32"/>
        </w:rPr>
      </w:pPr>
      <w:r>
        <w:rPr>
          <w:rFonts w:hint="eastAsia" w:ascii="仿宋_GB2312" w:hAnsi="??" w:eastAsia="仿宋_GB2312" w:cs="宋体"/>
          <w:kern w:val="0"/>
          <w:sz w:val="32"/>
          <w:szCs w:val="32"/>
        </w:rPr>
        <w:t>■ 建设人与自然和谐共生的现代化，必须把保护城市生态环境摆在更加突出的位置，科学合理规划城市的生产空间、生活空间、生态空间，处理好城市生产生活和生态环境保护的关系，既提高经济发展质量，又提高人民生活品质</w:t>
      </w:r>
    </w:p>
    <w:p>
      <w:pPr>
        <w:widowControl/>
        <w:spacing w:before="100" w:beforeAutospacing="1" w:after="100" w:afterAutospacing="1" w:line="540" w:lineRule="exact"/>
        <w:ind w:firstLine="640" w:firstLineChars="200"/>
        <w:rPr>
          <w:rFonts w:hint="eastAsia" w:ascii="仿宋_GB2312" w:hAnsi="??" w:eastAsia="仿宋_GB2312" w:cs="宋体"/>
          <w:kern w:val="0"/>
          <w:sz w:val="32"/>
          <w:szCs w:val="32"/>
        </w:rPr>
      </w:pPr>
      <w:r>
        <w:rPr>
          <w:rFonts w:hint="eastAsia" w:ascii="仿宋_GB2312" w:hAnsi="??" w:eastAsia="仿宋_GB2312" w:cs="宋体"/>
          <w:kern w:val="0"/>
          <w:sz w:val="32"/>
          <w:szCs w:val="32"/>
        </w:rPr>
        <w:t>■ 民营企业家富起来以后，要见贤思齐，增强家国情怀、担当社会责任，发挥先富帮后富的作用，积极参与和兴办社会公益事业。要勇于创新、奋力拼搏、力争一流，为构建新发展格局、推动高质量发展作出更大贡献</w:t>
      </w:r>
    </w:p>
    <w:p>
      <w:pPr>
        <w:widowControl/>
        <w:spacing w:before="100" w:beforeAutospacing="1" w:after="100" w:afterAutospacing="1" w:line="540" w:lineRule="exact"/>
        <w:ind w:firstLine="640" w:firstLineChars="200"/>
        <w:rPr>
          <w:rFonts w:hint="eastAsia" w:ascii="仿宋_GB2312" w:hAnsi="??" w:eastAsia="仿宋_GB2312" w:cs="宋体"/>
          <w:kern w:val="0"/>
          <w:sz w:val="32"/>
          <w:szCs w:val="32"/>
        </w:rPr>
      </w:pPr>
      <w:r>
        <w:rPr>
          <w:rFonts w:hint="eastAsia" w:ascii="仿宋_GB2312" w:hAnsi="??" w:eastAsia="仿宋_GB2312" w:cs="宋体"/>
          <w:kern w:val="0"/>
          <w:sz w:val="32"/>
          <w:szCs w:val="32"/>
        </w:rPr>
        <w:t>■ 千百年来，运河滋养两岸城市和人民，是运河两岸人民的致富河、幸福河。要把大运河文化遗产保护同生态环境保护提升、沿线名城名镇保护修复、文化旅游融合发展、运河航运转型提升统一起来，为大运河沿线区域经济社会发展、人民生活改善创造有利条件</w:t>
      </w:r>
    </w:p>
    <w:p>
      <w:pPr>
        <w:widowControl/>
        <w:spacing w:before="100" w:beforeAutospacing="1" w:after="100" w:afterAutospacing="1" w:line="540" w:lineRule="exact"/>
        <w:ind w:firstLine="640" w:firstLineChars="200"/>
        <w:rPr>
          <w:rFonts w:hint="eastAsia" w:ascii="仿宋_GB2312" w:hAnsi="??" w:eastAsia="仿宋_GB2312" w:cs="宋体"/>
          <w:kern w:val="0"/>
          <w:sz w:val="32"/>
          <w:szCs w:val="32"/>
        </w:rPr>
      </w:pPr>
      <w:r>
        <w:rPr>
          <w:rFonts w:hint="eastAsia" w:ascii="仿宋_GB2312" w:hAnsi="??" w:eastAsia="仿宋_GB2312" w:cs="宋体"/>
          <w:kern w:val="0"/>
          <w:sz w:val="32"/>
          <w:szCs w:val="32"/>
        </w:rPr>
        <w:t>■ 要继续推动南水北调东线工程建设，完善规划和建设方案，确保南水北调东线工程成为优化水资源配置、保障群众饮水安全、复苏河湖生态环境、畅通南北经济循环的生命线。要把实施南水北调工程同北方地区节约用水统筹起来，坚持调水、节水两手都要硬，一方面要提高向北调水能力，另一方面北方地区要从实际出发，坚持以水定城、以水定业，节约用水，不能随意扩大用水量</w:t>
      </w:r>
    </w:p>
    <w:p>
      <w:pPr>
        <w:widowControl/>
        <w:spacing w:before="100" w:beforeAutospacing="1" w:after="100" w:afterAutospacing="1" w:line="540" w:lineRule="exact"/>
        <w:ind w:firstLine="640" w:firstLineChars="200"/>
        <w:rPr>
          <w:rFonts w:hint="eastAsia" w:ascii="仿宋_GB2312" w:hAnsi="??" w:eastAsia="仿宋_GB2312" w:cs="宋体"/>
          <w:kern w:val="0"/>
          <w:sz w:val="32"/>
          <w:szCs w:val="32"/>
        </w:rPr>
      </w:pPr>
      <w:r>
        <w:rPr>
          <w:rFonts w:hint="eastAsia" w:ascii="仿宋_GB2312" w:hAnsi="??" w:eastAsia="仿宋_GB2312" w:cs="宋体"/>
          <w:kern w:val="0"/>
          <w:sz w:val="32"/>
          <w:szCs w:val="32"/>
        </w:rPr>
        <w:t>本报南京11月14日电  中共中央总书记、国家主席、中央军委主席习近平近日在江苏考察时强调，要全面把握新发展阶段的新任务新要求，坚定不移贯彻新发展理念、构建新发展格局，坚持稳中求进工作总基调，统筹发展和安全，把保护生态环境摆在更加突出的位置，推动经济社会高质量发展、可持续发展，着力在改革创新、推动高质量发展上争当表率，在服务全国构建新发展格局上争做示范，在率先实现社会主义现代化上走在前列。</w:t>
      </w:r>
    </w:p>
    <w:p>
      <w:pPr>
        <w:widowControl/>
        <w:spacing w:before="100" w:beforeAutospacing="1" w:after="100" w:afterAutospacing="1" w:line="540" w:lineRule="exact"/>
        <w:ind w:firstLine="640" w:firstLineChars="200"/>
        <w:rPr>
          <w:rFonts w:hint="eastAsia" w:ascii="仿宋_GB2312" w:hAnsi="??" w:eastAsia="仿宋_GB2312" w:cs="宋体"/>
          <w:kern w:val="0"/>
          <w:sz w:val="32"/>
          <w:szCs w:val="32"/>
        </w:rPr>
      </w:pPr>
      <w:r>
        <w:rPr>
          <w:rFonts w:hint="eastAsia" w:ascii="仿宋_GB2312" w:hAnsi="??" w:eastAsia="仿宋_GB2312" w:cs="宋体"/>
          <w:kern w:val="0"/>
          <w:sz w:val="32"/>
          <w:szCs w:val="32"/>
        </w:rPr>
        <w:t>11月12日至13日，习近平在江苏省委书记娄勤俭、省长吴政隆陪同下，先后来到南通、扬州等地，深入长江和运河岸线、水利枢纽、文物保护单位等，就贯彻落实党的十九届五中全会精神、统筹推进常态化疫情防控和经济社会发展工作等进行调研。</w:t>
      </w:r>
    </w:p>
    <w:p>
      <w:pPr>
        <w:widowControl/>
        <w:spacing w:before="100" w:beforeAutospacing="1" w:after="100" w:afterAutospacing="1" w:line="540" w:lineRule="exact"/>
        <w:ind w:firstLine="640" w:firstLineChars="200"/>
        <w:rPr>
          <w:rFonts w:hint="eastAsia" w:ascii="仿宋_GB2312" w:hAnsi="??" w:eastAsia="仿宋_GB2312" w:cs="宋体"/>
          <w:kern w:val="0"/>
          <w:sz w:val="32"/>
          <w:szCs w:val="32"/>
        </w:rPr>
      </w:pPr>
      <w:r>
        <w:rPr>
          <w:rFonts w:hint="eastAsia" w:ascii="仿宋_GB2312" w:hAnsi="??" w:eastAsia="仿宋_GB2312" w:cs="宋体"/>
          <w:kern w:val="0"/>
          <w:sz w:val="32"/>
          <w:szCs w:val="32"/>
        </w:rPr>
        <w:t>南通位于长江入海口北翼，素有“江海门户”之称。市区南部的滨江地区江面宽阔、烟波浩渺，黄泥山、马鞍山、狼山、剑山、军山等五山临江而立、葱茏叠翠，沿江岸线14公里是长江南通段重要的生态腹地和城市发展的重要水源地。</w:t>
      </w:r>
    </w:p>
    <w:p>
      <w:pPr>
        <w:widowControl/>
        <w:spacing w:before="100" w:beforeAutospacing="1" w:after="100" w:afterAutospacing="1" w:line="540" w:lineRule="exact"/>
        <w:ind w:firstLine="640" w:firstLineChars="200"/>
        <w:rPr>
          <w:rFonts w:hint="eastAsia" w:ascii="仿宋_GB2312" w:hAnsi="??" w:eastAsia="仿宋_GB2312" w:cs="宋体"/>
          <w:kern w:val="0"/>
          <w:sz w:val="32"/>
          <w:szCs w:val="32"/>
        </w:rPr>
      </w:pPr>
      <w:r>
        <w:rPr>
          <w:rFonts w:hint="eastAsia" w:ascii="仿宋_GB2312" w:hAnsi="??" w:eastAsia="仿宋_GB2312" w:cs="宋体"/>
          <w:kern w:val="0"/>
          <w:sz w:val="32"/>
          <w:szCs w:val="32"/>
        </w:rPr>
        <w:t>12日下午，习近平来到五山地区滨江片区，听取五山及沿江地区生态修复保护、实施长江水域禁捕退捕等情况介绍，对南通构建生态绿色廊道的做法表示肯定。随后，习近平沿江边步行察看滨江生态环境，详细了解当地推进长江下游岸线环境综合治理情况。习近平强调，生态环境投入不是无谓投入、无效投入，而是关系经济社会高质量发展、可持续发展的基础性、战略性投入。要坚决贯彻新发展理念，转变发展方式，优化发展思路，实现生态效益和经济社会效益相统一，走出一条生态优先、绿色发展的新路子，为长江经济带高质量发展、可持续发展提供有力支撑。</w:t>
      </w:r>
    </w:p>
    <w:p>
      <w:pPr>
        <w:widowControl/>
        <w:spacing w:before="100" w:beforeAutospacing="1" w:after="100" w:afterAutospacing="1" w:line="540" w:lineRule="exact"/>
        <w:ind w:firstLine="640" w:firstLineChars="200"/>
        <w:rPr>
          <w:rFonts w:hint="eastAsia" w:ascii="仿宋_GB2312" w:hAnsi="??" w:eastAsia="仿宋_GB2312" w:cs="宋体"/>
          <w:kern w:val="0"/>
          <w:sz w:val="32"/>
          <w:szCs w:val="32"/>
        </w:rPr>
      </w:pPr>
      <w:r>
        <w:rPr>
          <w:rFonts w:hint="eastAsia" w:ascii="仿宋_GB2312" w:hAnsi="??" w:eastAsia="仿宋_GB2312" w:cs="宋体"/>
          <w:kern w:val="0"/>
          <w:sz w:val="32"/>
          <w:szCs w:val="32"/>
        </w:rPr>
        <w:t>正在江边休闲散步的市民看到总书记来了，纷纷向总书记问好。习近平同大家亲切交流，对大家说，40多年前我来过五山地区，对这里壮阔江面的印象特别深刻。这次来，看到经过治理，曾经脏乱差的环境发生了沧桑巨变，成为人们流连忘返的滨江生态公园。大家生活在这样的城市里很幸福，幸福是你们共同奋斗、亲手创造出来的。习近平指出，城市是现代化的重要载体，也是人口最密集、污染排放最集中的地方。建设人与自然和谐共生的现代化，必须把保护城市生态环境摆在更加突出的位置，科学合理规划城市的生产空间、生活空间、生态空间，处理好城市生产生活和生态环境保护的关系，既提高经济发展质量，又提高人民生活品质。当前，境外疫情仍在蔓延，我国外防输入、内防反弹压力还很大。希望大家始终不放松疫情防控这根弦，继续落实各项常态化疫情防控措施，坚决防止疫情出现反复。</w:t>
      </w:r>
    </w:p>
    <w:p>
      <w:pPr>
        <w:widowControl/>
        <w:spacing w:before="100" w:beforeAutospacing="1" w:after="100" w:afterAutospacing="1" w:line="540" w:lineRule="exact"/>
        <w:ind w:firstLine="640" w:firstLineChars="200"/>
        <w:rPr>
          <w:rFonts w:hint="eastAsia" w:ascii="仿宋_GB2312" w:hAnsi="??" w:eastAsia="仿宋_GB2312" w:cs="宋体"/>
          <w:kern w:val="0"/>
          <w:sz w:val="32"/>
          <w:szCs w:val="32"/>
        </w:rPr>
      </w:pPr>
      <w:r>
        <w:rPr>
          <w:rFonts w:hint="eastAsia" w:ascii="仿宋_GB2312" w:hAnsi="??" w:eastAsia="仿宋_GB2312" w:cs="宋体"/>
          <w:kern w:val="0"/>
          <w:sz w:val="32"/>
          <w:szCs w:val="32"/>
        </w:rPr>
        <w:t>离开五山地区滨江片区，习近平来到南通博物苑考察调研。张謇是我国近代著名企业家、教育家，为中国近代民族工业兴起、教育和社会公益事业发展作出了重要贡献。他创办的南通博物苑是我国第一座公共博物馆，现有历史文物、民俗品物、自然标本等各类藏品5万余件。习近平仔细察看博物苑历史建筑，并走进张謇故居陈列室，了解张謇创办实业、发展教育、兴办社会公益事业的情况，听取当地培育企业家爱国情怀、社会责任、奋斗精神等情况介绍。习近平强调，我这次专门来南通博物苑，了解张謇兴办实业、教育和社会公益事业的情况。在当时内忧外患的形势下，作为中华文化熏陶出来的知识分子，张謇意识到落后必然挨打、实业才能救国，积极引进先进技术和经营理念，提倡实干兴邦，起而行之，兴办了一系列实业、教育、医疗、社会公益事业，帮助群众，造福乡梓，是我国民族企业家的楷模。改革开放以来，党和国家为民营企业发展和企业家成长创造了良好条件。民营企业家富起来以后，要见贤思齐，增强家国情怀、担当社会责任，发挥先富帮后富的作用，积极参与和兴办社会公益事业。要勇于创新、奋力拼搏、力争一流，为构建新发展格局、推动高质量发展作出更大贡献。要把南通博物苑和张謇故居作为爱国主义教育基地，让广大民营企业家和青少年受到教育，增强社会责任感，坚定“四个自信”。</w:t>
      </w:r>
    </w:p>
    <w:p>
      <w:pPr>
        <w:widowControl/>
        <w:spacing w:before="100" w:beforeAutospacing="1" w:after="100" w:afterAutospacing="1" w:line="540" w:lineRule="exact"/>
        <w:ind w:firstLine="640" w:firstLineChars="200"/>
        <w:rPr>
          <w:rFonts w:hint="eastAsia" w:ascii="仿宋_GB2312" w:hAnsi="??" w:eastAsia="仿宋_GB2312" w:cs="宋体"/>
          <w:kern w:val="0"/>
          <w:sz w:val="32"/>
          <w:szCs w:val="32"/>
        </w:rPr>
      </w:pPr>
      <w:r>
        <w:rPr>
          <w:rFonts w:hint="eastAsia" w:ascii="仿宋_GB2312" w:hAnsi="??" w:eastAsia="仿宋_GB2312" w:cs="宋体"/>
          <w:kern w:val="0"/>
          <w:sz w:val="32"/>
          <w:szCs w:val="32"/>
        </w:rPr>
        <w:t>13日，习近平来到扬州考察调研。古运河扬州段是整个运河中最古老的一段，扬州是中国古运河原点城市，也是长江经济带和大运河文化带交汇点城市。在运河三湾生态文化公园，习近平听取大运河沿线环境整治、生态修复及现代航运示范区建设等情况介绍。近年来，经过清理违建、水系疏浚等整治，生态环境明显改善。习近平沿运河三湾段岸边步行，察看运河生态廊道建设情况，了解大运河文化保护传承利用取得的成效。习近平在码头同市民群众亲切交流。他指出，扬州是个好地方，依水而建、缘水而兴、因水而美，是国家重要历史文化名城。千百年来，运河滋养两岸城市和人民，是运河两岸人民的致富河、幸福河。希望大家共同保护好大运河，使运河永远造福人民。生态文明建设关系经济社会发展，关系人民生活幸福，关系青少年健康成长。加强生态文明建设，是推动经济社会高质量发展的必然要求，也是广大群众的共识和呼声。要把大运河文化遗产保护同生态环境保护提升、沿线名城名镇保护修复、文化旅游融合发展、运河航运转型提升统一起来，为大运河沿线区域经济社会发展、人民生活改善创造有利条件。</w:t>
      </w:r>
    </w:p>
    <w:p>
      <w:pPr>
        <w:widowControl/>
        <w:spacing w:before="100" w:beforeAutospacing="1" w:after="100" w:afterAutospacing="1" w:line="540" w:lineRule="exact"/>
        <w:ind w:firstLine="640" w:firstLineChars="200"/>
        <w:rPr>
          <w:rFonts w:hint="eastAsia" w:ascii="仿宋_GB2312" w:hAnsi="??" w:eastAsia="仿宋_GB2312" w:cs="宋体"/>
          <w:kern w:val="0"/>
          <w:sz w:val="32"/>
          <w:szCs w:val="32"/>
        </w:rPr>
      </w:pPr>
      <w:r>
        <w:rPr>
          <w:rFonts w:hint="eastAsia" w:ascii="仿宋_GB2312" w:hAnsi="??" w:eastAsia="仿宋_GB2312" w:cs="宋体"/>
          <w:kern w:val="0"/>
          <w:sz w:val="32"/>
          <w:szCs w:val="32"/>
        </w:rPr>
        <w:t>随后，习近平乘车前往江都水利枢纽。江都水利枢纽是南水北调东线工程的源头，也是目前我国规模最大的电力排灌工程、亚洲最大的泵站枢纽。习近平来到展厅观看南水北调东线工程及江都水利枢纽专题片，结合沙盘听取南水北调东线工程建设运行情况介绍。他走进第四抽水站，察看抽水泵运行。在观测平台，工作人员向习近平展示了刚刚提取的水样，介绍当地加强水源地生态保护等情况。</w:t>
      </w:r>
    </w:p>
    <w:p>
      <w:pPr>
        <w:widowControl/>
        <w:spacing w:before="100" w:beforeAutospacing="1" w:after="100" w:afterAutospacing="1" w:line="540" w:lineRule="exact"/>
        <w:ind w:firstLine="640" w:firstLineChars="200"/>
        <w:rPr>
          <w:rFonts w:hint="eastAsia" w:ascii="仿宋_GB2312" w:hAnsi="??" w:eastAsia="仿宋_GB2312" w:cs="宋体"/>
          <w:kern w:val="0"/>
          <w:sz w:val="32"/>
          <w:szCs w:val="32"/>
        </w:rPr>
      </w:pPr>
      <w:r>
        <w:rPr>
          <w:rFonts w:hint="eastAsia" w:ascii="仿宋_GB2312" w:hAnsi="??" w:eastAsia="仿宋_GB2312" w:cs="宋体"/>
          <w:kern w:val="0"/>
          <w:sz w:val="32"/>
          <w:szCs w:val="32"/>
        </w:rPr>
        <w:t>在江都水利枢纽展览馆，习近平边走边看，详细了解水利枢纽发展建设历程和发挥调水、排涝、泄洪、通航、改善生态环境等功能情况。习近平指出，“北缺南丰”是我国水资源分布的显著特点。党和国家实施南水北调工程建设，就是要对水资源进行科学调剂，促进南北方均衡发展、可持续发展。要继续推动南水北调东线工程建设，完善规划和建设方案，确保南水北调东线工程成为优化水资源配置、保障群众饮水安全、复苏河湖生态环境、畅通南北经济循环的生命线。要把实施南水北调工程同北方地区节约用水统筹起来，坚持调水、节水两手都要硬，一方面要提高向北调水能力，另一方面北方地区要从实际出发，坚持以水定城、以水定业，节约用水，不能随意扩大用水量。习近平强调，南水北调东线工程取得的重大成就，离不开数十万建设者长期的辛勤劳动，离不开沿线40万移民的巨大奉献。要依托大型水利枢纽设施和江都水利枢纽展览馆，积极开展国情和水情教育，引导干部群众特别是青少年增强节约水资源、保护水生态的思想意识和行动自觉，加快推动生产生活方式绿色转型。</w:t>
      </w:r>
    </w:p>
    <w:p>
      <w:pPr>
        <w:widowControl/>
        <w:spacing w:before="100" w:beforeAutospacing="1" w:after="100" w:afterAutospacing="1" w:line="540" w:lineRule="exact"/>
        <w:ind w:firstLine="640" w:firstLineChars="200"/>
        <w:rPr>
          <w:rFonts w:hint="eastAsia" w:ascii="仿宋_GB2312" w:hAnsi="??" w:eastAsia="仿宋_GB2312" w:cs="宋体"/>
          <w:kern w:val="0"/>
          <w:sz w:val="32"/>
          <w:szCs w:val="32"/>
        </w:rPr>
      </w:pPr>
      <w:r>
        <w:rPr>
          <w:rFonts w:hint="eastAsia" w:ascii="仿宋_GB2312" w:hAnsi="??" w:eastAsia="仿宋_GB2312" w:cs="宋体"/>
          <w:kern w:val="0"/>
          <w:sz w:val="32"/>
          <w:szCs w:val="32"/>
        </w:rPr>
        <w:t>丁薛祥、刘鹤、陈希、何立峰和中央有关部门负责同志陪同考察。</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700" w:lineRule="exact"/>
        <w:ind w:firstLine="640" w:firstLineChars="200"/>
        <w:jc w:val="left"/>
        <w:textAlignment w:val="auto"/>
        <w:rPr>
          <w:rFonts w:hint="eastAsia" w:ascii="仿宋_GB2312" w:hAnsi="??" w:eastAsia="仿宋_GB2312" w:cs="宋体"/>
          <w:kern w:val="0"/>
          <w:sz w:val="32"/>
          <w:szCs w:val="32"/>
        </w:rPr>
      </w:pPr>
    </w:p>
    <w:p>
      <w:pPr>
        <w:widowControl/>
        <w:spacing w:before="100" w:beforeAutospacing="1" w:after="100" w:afterAutospacing="1" w:line="540" w:lineRule="exact"/>
        <w:jc w:val="right"/>
        <w:rPr>
          <w:rFonts w:ascii="仿宋_GB2312" w:hAnsi="??" w:eastAsia="仿宋_GB2312" w:cs="宋体"/>
          <w:kern w:val="0"/>
          <w:sz w:val="32"/>
          <w:szCs w:val="32"/>
        </w:rPr>
      </w:pPr>
      <w:r>
        <w:rPr>
          <w:rFonts w:hint="eastAsia" w:ascii="仿宋_GB2312" w:hAnsi="??" w:eastAsia="仿宋_GB2312" w:cs="宋体"/>
          <w:kern w:val="0"/>
          <w:sz w:val="32"/>
          <w:szCs w:val="32"/>
        </w:rPr>
        <w:t>《 人民日报 》（ 2020年1</w:t>
      </w:r>
      <w:r>
        <w:rPr>
          <w:rFonts w:hint="eastAsia" w:ascii="仿宋_GB2312" w:hAnsi="??" w:eastAsia="仿宋_GB2312" w:cs="宋体"/>
          <w:kern w:val="0"/>
          <w:sz w:val="32"/>
          <w:szCs w:val="32"/>
          <w:lang w:val="en-US" w:eastAsia="zh-CN"/>
        </w:rPr>
        <w:t>1</w:t>
      </w:r>
      <w:r>
        <w:rPr>
          <w:rFonts w:hint="eastAsia" w:ascii="仿宋_GB2312" w:hAnsi="??" w:eastAsia="仿宋_GB2312" w:cs="宋体"/>
          <w:kern w:val="0"/>
          <w:sz w:val="32"/>
          <w:szCs w:val="32"/>
        </w:rPr>
        <w:t>月</w:t>
      </w:r>
      <w:r>
        <w:rPr>
          <w:rFonts w:hint="eastAsia" w:ascii="仿宋_GB2312" w:hAnsi="??" w:eastAsia="仿宋_GB2312" w:cs="宋体"/>
          <w:kern w:val="0"/>
          <w:sz w:val="32"/>
          <w:szCs w:val="32"/>
          <w:lang w:val="en-US" w:eastAsia="zh-CN"/>
        </w:rPr>
        <w:t>15</w:t>
      </w:r>
      <w:r>
        <w:rPr>
          <w:rFonts w:hint="eastAsia" w:ascii="仿宋_GB2312" w:hAnsi="??" w:eastAsia="仿宋_GB2312" w:cs="宋体"/>
          <w:kern w:val="0"/>
          <w:sz w:val="32"/>
          <w:szCs w:val="32"/>
        </w:rPr>
        <w:t xml:space="preserve">日 </w:t>
      </w:r>
      <w:r>
        <w:rPr>
          <w:rFonts w:hint="eastAsia" w:ascii="仿宋_GB2312" w:hAnsi="??" w:eastAsia="仿宋_GB2312" w:cs="宋体"/>
          <w:kern w:val="0"/>
          <w:sz w:val="32"/>
          <w:szCs w:val="32"/>
          <w:lang w:val="en-US" w:eastAsia="zh-CN"/>
        </w:rPr>
        <w:t xml:space="preserve">第 </w:t>
      </w:r>
      <w:r>
        <w:rPr>
          <w:rFonts w:hint="eastAsia" w:ascii="仿宋_GB2312" w:hAnsi="??" w:eastAsia="仿宋_GB2312" w:cs="宋体"/>
          <w:kern w:val="0"/>
          <w:sz w:val="32"/>
          <w:szCs w:val="32"/>
        </w:rPr>
        <w:t>0</w:t>
      </w:r>
      <w:r>
        <w:rPr>
          <w:rFonts w:hint="eastAsia" w:ascii="仿宋_GB2312" w:hAnsi="??" w:eastAsia="仿宋_GB2312" w:cs="宋体"/>
          <w:kern w:val="0"/>
          <w:sz w:val="32"/>
          <w:szCs w:val="32"/>
          <w:lang w:val="en-US" w:eastAsia="zh-CN"/>
        </w:rPr>
        <w:t>1</w:t>
      </w:r>
      <w:r>
        <w:rPr>
          <w:rFonts w:hint="eastAsia" w:ascii="仿宋_GB2312" w:hAnsi="??" w:eastAsia="仿宋_GB2312" w:cs="宋体"/>
          <w:kern w:val="0"/>
          <w:sz w:val="32"/>
          <w:szCs w:val="32"/>
        </w:rPr>
        <w:t xml:space="preserve"> 版）</w:t>
      </w:r>
    </w:p>
    <w:p>
      <w:pPr>
        <w:widowControl/>
        <w:spacing w:before="100" w:beforeAutospacing="1" w:after="100" w:afterAutospacing="1" w:line="540" w:lineRule="exact"/>
        <w:rPr>
          <w:rFonts w:ascii="仿宋_GB2312" w:hAnsi="??" w:eastAsia="仿宋_GB2312" w:cs="宋体"/>
          <w:kern w:val="0"/>
          <w:sz w:val="32"/>
          <w:szCs w:val="32"/>
        </w:rPr>
      </w:pPr>
    </w:p>
    <w:p>
      <w:pPr>
        <w:spacing w:before="100" w:beforeAutospacing="1" w:after="100" w:afterAutospacing="1" w:line="540" w:lineRule="exact"/>
        <w:rPr>
          <w:rFonts w:ascii="方正小标宋简体" w:eastAsia="方正小标宋简体"/>
          <w:sz w:val="44"/>
          <w:szCs w:val="44"/>
        </w:rPr>
      </w:pPr>
    </w:p>
    <w:p>
      <w:pPr>
        <w:widowControl/>
        <w:jc w:val="left"/>
        <w:rPr>
          <w:rFonts w:ascii="方正小标宋简体" w:eastAsia="方正小标宋简体"/>
          <w:sz w:val="44"/>
          <w:szCs w:val="44"/>
        </w:rPr>
      </w:pPr>
      <w:r>
        <w:rPr>
          <w:rFonts w:ascii="方正小标宋简体" w:eastAsia="方正小标宋简体"/>
          <w:sz w:val="44"/>
          <w:szCs w:val="44"/>
        </w:rPr>
        <w:br w:type="page"/>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70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rPr>
        <w:t>习近平给人民教育出版社老同志回信强调</w:t>
      </w:r>
      <w:r>
        <w:rPr>
          <w:rFonts w:hint="eastAsia" w:ascii="方正小标宋简体" w:eastAsia="方正小标宋简体"/>
          <w:sz w:val="44"/>
          <w:szCs w:val="44"/>
          <w:lang w:eastAsia="zh-CN"/>
        </w:rPr>
        <w:t>：</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70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 xml:space="preserve">紧紧围绕立德树人根本任务 </w:t>
      </w: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70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用心打造培根铸魂启智增慧的精品教材</w:t>
      </w:r>
    </w:p>
    <w:p>
      <w:pPr>
        <w:widowControl/>
        <w:spacing w:before="100" w:beforeAutospacing="1" w:after="100" w:afterAutospacing="1" w:line="540" w:lineRule="exact"/>
        <w:ind w:firstLine="640" w:firstLineChars="200"/>
        <w:rPr>
          <w:rFonts w:hint="eastAsia" w:ascii="仿宋_GB2312" w:hAnsi="??" w:eastAsia="仿宋_GB2312" w:cs="宋体"/>
          <w:kern w:val="0"/>
          <w:sz w:val="32"/>
          <w:szCs w:val="32"/>
        </w:rPr>
      </w:pPr>
      <w:r>
        <w:rPr>
          <w:rFonts w:hint="eastAsia" w:ascii="仿宋_GB2312" w:hAnsi="??" w:eastAsia="仿宋_GB2312" w:cs="宋体"/>
          <w:kern w:val="0"/>
          <w:sz w:val="32"/>
          <w:szCs w:val="32"/>
        </w:rPr>
        <w:t>新华社北京11月30日电 中共中央总书记、国家主席、中央军委主席习近平近日给人民教育出版社部分离退休老同志回信，向人教社的全体同志致以问候，对教材编研出版工作提出殷切期望。</w:t>
      </w:r>
    </w:p>
    <w:p>
      <w:pPr>
        <w:widowControl/>
        <w:spacing w:before="100" w:beforeAutospacing="1" w:after="100" w:afterAutospacing="1" w:line="540" w:lineRule="exact"/>
        <w:ind w:firstLine="640" w:firstLineChars="200"/>
        <w:rPr>
          <w:rFonts w:hint="eastAsia" w:ascii="仿宋_GB2312" w:hAnsi="??" w:eastAsia="仿宋_GB2312" w:cs="宋体"/>
          <w:kern w:val="0"/>
          <w:sz w:val="32"/>
          <w:szCs w:val="32"/>
        </w:rPr>
      </w:pPr>
      <w:r>
        <w:rPr>
          <w:rFonts w:hint="eastAsia" w:ascii="仿宋_GB2312" w:hAnsi="??" w:eastAsia="仿宋_GB2312" w:cs="宋体"/>
          <w:kern w:val="0"/>
          <w:sz w:val="32"/>
          <w:szCs w:val="32"/>
        </w:rPr>
        <w:t>习近平在回信中说，70年来，人民教育出版社在基础教育教材和教育图书编研出版上辛勤耕耘、接续奋斗，为我国教育事业发展作出了积极贡献，我谨向你们和全社员工致以诚挚的问候！</w:t>
      </w:r>
    </w:p>
    <w:p>
      <w:pPr>
        <w:widowControl/>
        <w:spacing w:before="100" w:beforeAutospacing="1" w:after="100" w:afterAutospacing="1" w:line="540" w:lineRule="exact"/>
        <w:ind w:firstLine="640" w:firstLineChars="200"/>
        <w:rPr>
          <w:rFonts w:hint="eastAsia" w:ascii="仿宋_GB2312" w:hAnsi="??" w:eastAsia="仿宋_GB2312" w:cs="宋体"/>
          <w:kern w:val="0"/>
          <w:sz w:val="32"/>
          <w:szCs w:val="32"/>
        </w:rPr>
      </w:pPr>
      <w:r>
        <w:rPr>
          <w:rFonts w:hint="eastAsia" w:ascii="仿宋_GB2312" w:hAnsi="??" w:eastAsia="仿宋_GB2312" w:cs="宋体"/>
          <w:kern w:val="0"/>
          <w:sz w:val="32"/>
          <w:szCs w:val="32"/>
        </w:rPr>
        <w:t>习近平强调，百年大计，教育为本。希望人民教育出版社紧紧围绕立德树人根本任务，坚持正确政治方向，弘扬优良传统，推进改革创新，用心打造培根铸魂、启智增慧的精品教材，为培养德智体美劳全面发展的社会主义建设者和接班人、建设教育强国作出新的更大贡献。</w:t>
      </w:r>
    </w:p>
    <w:p>
      <w:pPr>
        <w:widowControl/>
        <w:spacing w:before="100" w:beforeAutospacing="1" w:after="100" w:afterAutospacing="1" w:line="540" w:lineRule="exact"/>
        <w:ind w:firstLine="640" w:firstLineChars="200"/>
        <w:rPr>
          <w:rFonts w:ascii="仿宋_GB2312" w:hAnsi="仿宋_GB2312" w:eastAsia="仿宋_GB2312" w:cs="仿宋_GB2312"/>
          <w:kern w:val="0"/>
          <w:sz w:val="32"/>
          <w:szCs w:val="32"/>
        </w:rPr>
      </w:pPr>
      <w:r>
        <w:rPr>
          <w:rFonts w:hint="eastAsia" w:ascii="仿宋_GB2312" w:hAnsi="??" w:eastAsia="仿宋_GB2312" w:cs="宋体"/>
          <w:kern w:val="0"/>
          <w:sz w:val="32"/>
          <w:szCs w:val="32"/>
        </w:rPr>
        <w:t>人民教育出版社成立于1950年，始终致力于基础教育教材和教育图书的研究、编写、出版和发行，近年来还承担了中小学道德与法治（思想政治）、语文和历史三科统编教材的编辑出版任务。70年来，人教社先后编研出版了11套全国通用中小学教材，累计出版各类出版物7万余种，发行量逾750亿册。近日，该社部分离退休老同志给习近平总书记写信，代表全社同志汇报了人教社70年来履行编书育人使命的情况，表达了为繁荣我国教育出版事业贡献力量的决心。</w:t>
      </w:r>
    </w:p>
    <w:p>
      <w:pPr>
        <w:widowControl/>
        <w:spacing w:before="100" w:beforeAutospacing="1" w:after="100" w:afterAutospacing="1" w:line="540" w:lineRule="exact"/>
        <w:rPr>
          <w:rFonts w:ascii="仿宋_GB2312" w:hAnsi="??" w:eastAsia="仿宋_GB2312" w:cs="宋体"/>
          <w:kern w:val="0"/>
          <w:sz w:val="32"/>
          <w:szCs w:val="32"/>
        </w:rPr>
      </w:pPr>
    </w:p>
    <w:p>
      <w:pPr>
        <w:widowControl/>
        <w:spacing w:before="100" w:beforeAutospacing="1" w:after="100" w:afterAutospacing="1" w:line="540" w:lineRule="exact"/>
        <w:ind w:firstLine="640" w:firstLineChars="200"/>
        <w:jc w:val="right"/>
        <w:rPr>
          <w:rFonts w:hint="eastAsia" w:ascii="仿宋_GB2312" w:hAnsi="??" w:eastAsia="仿宋_GB2312" w:cs="宋体"/>
          <w:kern w:val="0"/>
          <w:sz w:val="32"/>
          <w:szCs w:val="32"/>
        </w:rPr>
      </w:pPr>
      <w:r>
        <w:rPr>
          <w:rFonts w:hint="eastAsia" w:ascii="仿宋_GB2312" w:hAnsi="??" w:eastAsia="仿宋_GB2312" w:cs="宋体"/>
          <w:kern w:val="0"/>
          <w:sz w:val="32"/>
          <w:szCs w:val="32"/>
        </w:rPr>
        <w:t>　　（新华社北京11月3</w:t>
      </w:r>
      <w:r>
        <w:rPr>
          <w:rFonts w:hint="eastAsia" w:ascii="仿宋_GB2312" w:hAnsi="??" w:eastAsia="仿宋_GB2312" w:cs="宋体"/>
          <w:kern w:val="0"/>
          <w:sz w:val="32"/>
          <w:szCs w:val="32"/>
          <w:lang w:val="en-US" w:eastAsia="zh-CN"/>
        </w:rPr>
        <w:t>0</w:t>
      </w:r>
      <w:r>
        <w:rPr>
          <w:rFonts w:hint="eastAsia" w:ascii="仿宋_GB2312" w:hAnsi="??" w:eastAsia="仿宋_GB2312" w:cs="宋体"/>
          <w:kern w:val="0"/>
          <w:sz w:val="32"/>
          <w:szCs w:val="32"/>
        </w:rPr>
        <w:t xml:space="preserve">日电）  </w:t>
      </w:r>
    </w:p>
    <w:p>
      <w:pPr>
        <w:widowControl/>
        <w:spacing w:before="100" w:beforeAutospacing="1" w:after="100" w:afterAutospacing="1" w:line="540" w:lineRule="exact"/>
        <w:ind w:firstLine="640" w:firstLineChars="200"/>
        <w:rPr>
          <w:rFonts w:hint="eastAsia" w:ascii="仿宋_GB2312" w:hAnsi="??" w:eastAsia="仿宋_GB2312" w:cs="宋体"/>
          <w:kern w:val="0"/>
          <w:sz w:val="32"/>
          <w:szCs w:val="32"/>
        </w:rPr>
      </w:pPr>
    </w:p>
    <w:p>
      <w:pPr>
        <w:spacing w:before="100" w:beforeAutospacing="1" w:after="100" w:afterAutospacing="1" w:line="540" w:lineRule="exact"/>
        <w:jc w:val="center"/>
        <w:rPr>
          <w:rFonts w:hint="eastAsia" w:ascii="仿宋_GB2312" w:eastAsia="仿宋_GB2312"/>
          <w:sz w:val="32"/>
          <w:szCs w:val="32"/>
        </w:rPr>
      </w:pPr>
    </w:p>
    <w:p>
      <w:pPr>
        <w:spacing w:before="100" w:beforeAutospacing="1" w:after="100" w:afterAutospacing="1" w:line="540" w:lineRule="exact"/>
        <w:jc w:val="center"/>
        <w:rPr>
          <w:rFonts w:hint="eastAsia" w:ascii="仿宋_GB2312" w:eastAsia="仿宋_GB2312"/>
          <w:sz w:val="32"/>
          <w:szCs w:val="32"/>
        </w:rPr>
      </w:pPr>
    </w:p>
    <w:p>
      <w:pPr>
        <w:spacing w:before="100" w:beforeAutospacing="1" w:after="100" w:afterAutospacing="1" w:line="540" w:lineRule="exact"/>
        <w:jc w:val="center"/>
        <w:rPr>
          <w:rFonts w:hint="eastAsia" w:ascii="仿宋_GB2312" w:eastAsia="仿宋_GB2312"/>
          <w:sz w:val="32"/>
          <w:szCs w:val="32"/>
        </w:rPr>
      </w:pPr>
    </w:p>
    <w:p>
      <w:pPr>
        <w:spacing w:before="100" w:beforeAutospacing="1" w:after="100" w:afterAutospacing="1" w:line="540" w:lineRule="exact"/>
        <w:jc w:val="center"/>
        <w:rPr>
          <w:rFonts w:hint="eastAsia" w:ascii="仿宋_GB2312" w:eastAsia="仿宋_GB2312"/>
          <w:sz w:val="32"/>
          <w:szCs w:val="32"/>
        </w:rPr>
      </w:pPr>
    </w:p>
    <w:p>
      <w:pPr>
        <w:spacing w:before="100" w:beforeAutospacing="1" w:after="100" w:afterAutospacing="1" w:line="540" w:lineRule="exact"/>
        <w:jc w:val="center"/>
        <w:rPr>
          <w:rFonts w:hint="eastAsia" w:ascii="仿宋_GB2312" w:eastAsia="仿宋_GB2312"/>
          <w:sz w:val="32"/>
          <w:szCs w:val="32"/>
        </w:rPr>
      </w:pPr>
    </w:p>
    <w:p>
      <w:pPr>
        <w:spacing w:before="100" w:beforeAutospacing="1" w:after="100" w:afterAutospacing="1" w:line="540" w:lineRule="exact"/>
        <w:jc w:val="center"/>
        <w:rPr>
          <w:rFonts w:hint="eastAsia" w:ascii="仿宋_GB2312" w:eastAsia="仿宋_GB2312"/>
          <w:sz w:val="32"/>
          <w:szCs w:val="32"/>
        </w:rPr>
      </w:pPr>
    </w:p>
    <w:p>
      <w:pPr>
        <w:spacing w:before="100" w:beforeAutospacing="1" w:after="100" w:afterAutospacing="1" w:line="540" w:lineRule="exact"/>
        <w:jc w:val="center"/>
        <w:rPr>
          <w:rFonts w:hint="eastAsia" w:ascii="仿宋_GB2312" w:eastAsia="仿宋_GB2312"/>
          <w:sz w:val="32"/>
          <w:szCs w:val="32"/>
        </w:rPr>
      </w:pPr>
    </w:p>
    <w:p>
      <w:pPr>
        <w:spacing w:before="100" w:beforeAutospacing="1" w:after="100" w:afterAutospacing="1" w:line="540" w:lineRule="exact"/>
        <w:jc w:val="center"/>
        <w:rPr>
          <w:rFonts w:hint="eastAsia" w:ascii="仿宋_GB2312" w:eastAsia="仿宋_GB2312"/>
          <w:sz w:val="32"/>
          <w:szCs w:val="32"/>
        </w:rPr>
      </w:pPr>
    </w:p>
    <w:p>
      <w:pPr>
        <w:spacing w:before="100" w:beforeAutospacing="1" w:after="100" w:afterAutospacing="1" w:line="540" w:lineRule="exact"/>
        <w:jc w:val="center"/>
        <w:rPr>
          <w:rFonts w:hint="eastAsia" w:ascii="仿宋_GB2312" w:eastAsia="仿宋_GB2312"/>
          <w:sz w:val="32"/>
          <w:szCs w:val="32"/>
        </w:rPr>
      </w:pPr>
    </w:p>
    <w:p>
      <w:pPr>
        <w:spacing w:before="100" w:beforeAutospacing="1" w:after="100" w:afterAutospacing="1" w:line="540" w:lineRule="exact"/>
        <w:jc w:val="center"/>
        <w:rPr>
          <w:rFonts w:hint="eastAsia" w:ascii="仿宋_GB2312" w:eastAsia="仿宋_GB2312"/>
          <w:sz w:val="32"/>
          <w:szCs w:val="32"/>
        </w:rPr>
      </w:pPr>
    </w:p>
    <w:p>
      <w:pPr>
        <w:spacing w:before="100" w:beforeAutospacing="1" w:after="100" w:afterAutospacing="1" w:line="540" w:lineRule="exact"/>
        <w:jc w:val="center"/>
        <w:rPr>
          <w:rFonts w:hint="eastAsia" w:ascii="仿宋_GB2312" w:eastAsia="仿宋_GB2312"/>
          <w:sz w:val="32"/>
          <w:szCs w:val="32"/>
        </w:rPr>
      </w:pPr>
    </w:p>
    <w:p>
      <w:pPr>
        <w:spacing w:before="100" w:beforeAutospacing="1" w:after="100" w:afterAutospacing="1" w:line="540" w:lineRule="exact"/>
        <w:jc w:val="both"/>
        <w:rPr>
          <w:rFonts w:hint="eastAsia" w:ascii="仿宋_GB2312" w:eastAsia="仿宋_GB2312"/>
          <w:sz w:val="32"/>
          <w:szCs w:val="32"/>
        </w:rPr>
      </w:pPr>
    </w:p>
    <w:p>
      <w:pPr>
        <w:spacing w:before="100" w:beforeAutospacing="1" w:after="100" w:afterAutospacing="1" w:line="540" w:lineRule="exact"/>
        <w:jc w:val="center"/>
        <w:rPr>
          <w:rFonts w:ascii="仿宋_GB2312" w:eastAsia="仿宋_GB2312"/>
          <w:sz w:val="32"/>
          <w:szCs w:val="32"/>
        </w:rPr>
      </w:pPr>
      <w:r>
        <w:rPr>
          <w:rFonts w:hint="eastAsia" w:ascii="仿宋_GB2312" w:eastAsia="仿宋_GB2312"/>
          <w:sz w:val="32"/>
          <w:szCs w:val="32"/>
        </w:rPr>
        <w:t>《求是》2020年第2</w:t>
      </w:r>
      <w:r>
        <w:rPr>
          <w:rFonts w:hint="eastAsia" w:ascii="仿宋_GB2312" w:eastAsia="仿宋_GB2312"/>
          <w:sz w:val="32"/>
          <w:szCs w:val="32"/>
          <w:lang w:val="en-US" w:eastAsia="zh-CN"/>
        </w:rPr>
        <w:t>2</w:t>
      </w:r>
      <w:r>
        <w:rPr>
          <w:rFonts w:hint="eastAsia" w:ascii="仿宋_GB2312" w:eastAsia="仿宋_GB2312"/>
          <w:sz w:val="32"/>
          <w:szCs w:val="32"/>
        </w:rPr>
        <w:t>期：</w:t>
      </w:r>
    </w:p>
    <w:p>
      <w:pPr>
        <w:spacing w:before="100" w:beforeAutospacing="1" w:after="100" w:afterAutospacing="1" w:line="54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推进全面依法治国，发挥法治在国家治理体系和治理能力现代化中的积极作用</w:t>
      </w:r>
      <w:r>
        <w:rPr>
          <w:rFonts w:hint="eastAsia" w:ascii="方正小标宋简体" w:eastAsia="方正小标宋简体"/>
          <w:sz w:val="44"/>
          <w:szCs w:val="44"/>
          <w:vertAlign w:val="superscript"/>
        </w:rPr>
        <w:t>※</w:t>
      </w:r>
    </w:p>
    <w:p>
      <w:pPr>
        <w:widowControl/>
        <w:spacing w:before="100" w:beforeAutospacing="1" w:after="100" w:afterAutospacing="1" w:line="540" w:lineRule="exact"/>
        <w:jc w:val="center"/>
        <w:rPr>
          <w:rFonts w:ascii="仿宋_GB2312" w:hAnsi="??" w:eastAsia="仿宋_GB2312" w:cs="宋体"/>
          <w:kern w:val="0"/>
          <w:sz w:val="32"/>
          <w:szCs w:val="32"/>
        </w:rPr>
      </w:pPr>
      <w:r>
        <w:rPr>
          <w:rFonts w:hint="eastAsia" w:ascii="仿宋_GB2312" w:hAnsi="??" w:eastAsia="仿宋_GB2312" w:cs="宋体"/>
          <w:kern w:val="0"/>
          <w:sz w:val="32"/>
          <w:szCs w:val="32"/>
        </w:rPr>
        <w:t>习近平</w:t>
      </w:r>
    </w:p>
    <w:p>
      <w:pPr>
        <w:widowControl/>
        <w:spacing w:before="100" w:beforeAutospacing="1" w:after="100" w:afterAutospacing="1" w:line="540" w:lineRule="exact"/>
        <w:ind w:firstLine="643" w:firstLineChars="200"/>
        <w:jc w:val="center"/>
        <w:rPr>
          <w:rFonts w:hint="eastAsia" w:ascii="仿宋_GB2312" w:hAnsi="??" w:eastAsia="仿宋_GB2312" w:cs="宋体"/>
          <w:b/>
          <w:bCs/>
          <w:kern w:val="0"/>
          <w:sz w:val="32"/>
          <w:szCs w:val="32"/>
        </w:rPr>
      </w:pPr>
      <w:r>
        <w:rPr>
          <w:rFonts w:hint="eastAsia" w:ascii="仿宋_GB2312" w:hAnsi="??" w:eastAsia="仿宋_GB2312" w:cs="宋体"/>
          <w:b/>
          <w:bCs/>
          <w:kern w:val="0"/>
          <w:sz w:val="32"/>
          <w:szCs w:val="32"/>
          <w:lang w:val="en-US" w:eastAsia="zh-CN"/>
        </w:rPr>
        <w:t>坚持全面依法治国，夯实中国之治的制度根基</w:t>
      </w:r>
    </w:p>
    <w:p>
      <w:pPr>
        <w:widowControl/>
        <w:spacing w:before="100" w:beforeAutospacing="1" w:after="100" w:afterAutospacing="1" w:line="540" w:lineRule="exact"/>
        <w:ind w:firstLine="640" w:firstLineChars="200"/>
        <w:rPr>
          <w:rFonts w:hint="eastAsia" w:ascii="仿宋_GB2312" w:hAnsi="??" w:eastAsia="仿宋_GB2312" w:cs="宋体"/>
          <w:kern w:val="0"/>
          <w:sz w:val="32"/>
          <w:szCs w:val="32"/>
          <w:lang w:val="en-US" w:eastAsia="zh-CN"/>
        </w:rPr>
      </w:pPr>
      <w:r>
        <w:rPr>
          <w:rFonts w:hint="eastAsia" w:ascii="仿宋_GB2312" w:hAnsi="??" w:eastAsia="仿宋_GB2312" w:cs="宋体"/>
          <w:kern w:val="0"/>
          <w:sz w:val="32"/>
          <w:szCs w:val="32"/>
          <w:lang w:val="en-US" w:eastAsia="zh-CN"/>
        </w:rPr>
        <w:t>党的十九届四中全会对坚持和完善中国特色社会主义制度、推进国家治理体系和治理能力现代化作出全面部署。我多次说过，坚持全面依法治国，是中国特色社会主义国家制度和国家治理体系的显著优势。中国特色社会主义实践向前推进一步，法治建设就要跟进一步。实践证明，通过宪法法律确认和巩固国家根本制度、基本制度、重要制度，并运用国家强制力保证实施，保障了国家治理体系的系统性、规范性、协调性、稳定性。</w:t>
      </w:r>
    </w:p>
    <w:p>
      <w:pPr>
        <w:widowControl/>
        <w:spacing w:before="100" w:beforeAutospacing="1" w:after="100" w:afterAutospacing="1" w:line="540" w:lineRule="exact"/>
        <w:ind w:firstLine="640" w:firstLineChars="200"/>
        <w:rPr>
          <w:rFonts w:hint="eastAsia" w:ascii="仿宋_GB2312" w:hAnsi="??" w:eastAsia="仿宋_GB2312" w:cs="宋体"/>
          <w:kern w:val="0"/>
          <w:sz w:val="32"/>
          <w:szCs w:val="32"/>
          <w:lang w:val="en-US" w:eastAsia="zh-CN"/>
        </w:rPr>
      </w:pPr>
      <w:r>
        <w:rPr>
          <w:rFonts w:hint="eastAsia" w:ascii="仿宋_GB2312" w:hAnsi="??" w:eastAsia="仿宋_GB2312" w:cs="宋体"/>
          <w:kern w:val="0"/>
          <w:sz w:val="32"/>
          <w:szCs w:val="32"/>
          <w:lang w:val="en-US" w:eastAsia="zh-CN"/>
        </w:rPr>
        <w:t>我国社会主义法治凝聚着我们党治国理政的理论成果和实践经验，是制度之治最基本最稳定最可靠的保障。推进全面依法治国，发挥法治在国家治理体系和治理能力现代化中的积极作用，要着重把握以下几个方面。</w:t>
      </w:r>
    </w:p>
    <w:p>
      <w:pPr>
        <w:widowControl/>
        <w:spacing w:before="100" w:beforeAutospacing="1" w:after="100" w:afterAutospacing="1" w:line="540" w:lineRule="exact"/>
        <w:ind w:firstLine="643" w:firstLineChars="200"/>
        <w:rPr>
          <w:rFonts w:hint="eastAsia" w:ascii="仿宋_GB2312" w:hAnsi="??" w:eastAsia="仿宋_GB2312" w:cs="宋体"/>
          <w:kern w:val="0"/>
          <w:sz w:val="32"/>
          <w:szCs w:val="32"/>
          <w:lang w:val="en-US" w:eastAsia="zh-CN"/>
        </w:rPr>
      </w:pPr>
      <w:r>
        <w:rPr>
          <w:rFonts w:hint="eastAsia" w:ascii="仿宋_GB2312" w:hAnsi="??" w:eastAsia="仿宋_GB2312" w:cs="宋体"/>
          <w:b/>
          <w:bCs/>
          <w:kern w:val="0"/>
          <w:sz w:val="32"/>
          <w:szCs w:val="32"/>
          <w:lang w:val="en-US" w:eastAsia="zh-CN"/>
        </w:rPr>
        <w:t>第一，提高党依法治国、依法执政能力。</w:t>
      </w:r>
      <w:r>
        <w:rPr>
          <w:rFonts w:hint="eastAsia" w:ascii="仿宋_GB2312" w:hAnsi="??" w:eastAsia="仿宋_GB2312" w:cs="宋体"/>
          <w:kern w:val="0"/>
          <w:sz w:val="32"/>
          <w:szCs w:val="32"/>
          <w:lang w:val="en-US" w:eastAsia="zh-CN"/>
        </w:rPr>
        <w:t>宪法规定了党总揽全局、协调各方的领导地位。要进一步推进党的领导入法入规，善于使党的主张通过法定程序成为国家意志、转化为法律法规，推进党的领导制度化、法治化、规范化。各级党组织和党员、干部要强化依法治国、依法执政观念，提高运用法治思维和法治方式深化改革、推动发展、化解矛盾、维护稳定、应对风险的能力。</w:t>
      </w:r>
    </w:p>
    <w:p>
      <w:pPr>
        <w:widowControl/>
        <w:spacing w:before="100" w:beforeAutospacing="1" w:after="100" w:afterAutospacing="1" w:line="540" w:lineRule="exact"/>
        <w:ind w:firstLine="643" w:firstLineChars="200"/>
        <w:rPr>
          <w:rFonts w:hint="eastAsia" w:ascii="仿宋_GB2312" w:hAnsi="??" w:eastAsia="仿宋_GB2312" w:cs="宋体"/>
          <w:kern w:val="0"/>
          <w:sz w:val="32"/>
          <w:szCs w:val="32"/>
          <w:lang w:val="en-US" w:eastAsia="zh-CN"/>
        </w:rPr>
      </w:pPr>
      <w:r>
        <w:rPr>
          <w:rFonts w:hint="eastAsia" w:ascii="仿宋_GB2312" w:hAnsi="??" w:eastAsia="仿宋_GB2312" w:cs="宋体"/>
          <w:b/>
          <w:bCs/>
          <w:kern w:val="0"/>
          <w:sz w:val="32"/>
          <w:szCs w:val="32"/>
          <w:lang w:val="en-US" w:eastAsia="zh-CN"/>
        </w:rPr>
        <w:t>第二，用法治保障人民当家作主。</w:t>
      </w:r>
      <w:r>
        <w:rPr>
          <w:rFonts w:hint="eastAsia" w:ascii="仿宋_GB2312" w:hAnsi="??" w:eastAsia="仿宋_GB2312" w:cs="宋体"/>
          <w:kern w:val="0"/>
          <w:sz w:val="32"/>
          <w:szCs w:val="32"/>
          <w:lang w:val="en-US" w:eastAsia="zh-CN"/>
        </w:rPr>
        <w:t>要坚持和完善人民当家作主制度体系，健全社会公平正义法治保障制度，保证人民在党的领导下通过各种途径和形式依法管理国家事务、管理经济和文化事业、管理社会事务，使法律及其实施有效体现人民意志、保障人民权益、激发人民创造力。</w:t>
      </w:r>
    </w:p>
    <w:p>
      <w:pPr>
        <w:widowControl/>
        <w:spacing w:before="100" w:beforeAutospacing="1" w:after="100" w:afterAutospacing="1" w:line="540" w:lineRule="exact"/>
        <w:ind w:firstLine="643" w:firstLineChars="200"/>
        <w:rPr>
          <w:rFonts w:hint="eastAsia" w:ascii="仿宋_GB2312" w:hAnsi="??" w:eastAsia="仿宋_GB2312" w:cs="宋体"/>
          <w:kern w:val="0"/>
          <w:sz w:val="32"/>
          <w:szCs w:val="32"/>
          <w:lang w:val="en-US" w:eastAsia="zh-CN"/>
        </w:rPr>
      </w:pPr>
      <w:r>
        <w:rPr>
          <w:rFonts w:hint="eastAsia" w:ascii="仿宋_GB2312" w:hAnsi="??" w:eastAsia="仿宋_GB2312" w:cs="宋体"/>
          <w:b/>
          <w:bCs/>
          <w:kern w:val="0"/>
          <w:sz w:val="32"/>
          <w:szCs w:val="32"/>
          <w:lang w:val="en-US" w:eastAsia="zh-CN"/>
        </w:rPr>
        <w:t>第三，坚持和完善中国特色社会主义法治体系。</w:t>
      </w:r>
      <w:r>
        <w:rPr>
          <w:rFonts w:hint="eastAsia" w:ascii="仿宋_GB2312" w:hAnsi="??" w:eastAsia="仿宋_GB2312" w:cs="宋体"/>
          <w:kern w:val="0"/>
          <w:sz w:val="32"/>
          <w:szCs w:val="32"/>
          <w:lang w:val="en-US" w:eastAsia="zh-CN"/>
        </w:rPr>
        <w:t>要坚持依法治国、依法执政、依法行政共同推进，坚持法治国家、法治政府、法治社会一体建设，不断完善法律规范、法治实施、法治监督、法治保障和党内法规体系，汲取中华传统法律文化精华，吸收借鉴人类法治文明有益成果，坚决抵制西方错误思潮错误观点影响，加快建设中国特色社会主义法治体系。</w:t>
      </w:r>
    </w:p>
    <w:p>
      <w:pPr>
        <w:widowControl/>
        <w:spacing w:before="100" w:beforeAutospacing="1" w:after="100" w:afterAutospacing="1" w:line="540" w:lineRule="exact"/>
        <w:ind w:firstLine="643" w:firstLineChars="200"/>
        <w:rPr>
          <w:rFonts w:hint="eastAsia" w:ascii="仿宋_GB2312" w:hAnsi="??" w:eastAsia="仿宋_GB2312" w:cs="宋体"/>
          <w:kern w:val="0"/>
          <w:sz w:val="32"/>
          <w:szCs w:val="32"/>
          <w:lang w:val="en-US" w:eastAsia="zh-CN"/>
        </w:rPr>
      </w:pPr>
      <w:r>
        <w:rPr>
          <w:rFonts w:hint="eastAsia" w:ascii="仿宋_GB2312" w:hAnsi="??" w:eastAsia="仿宋_GB2312" w:cs="宋体"/>
          <w:b/>
          <w:bCs/>
          <w:kern w:val="0"/>
          <w:sz w:val="32"/>
          <w:szCs w:val="32"/>
          <w:lang w:val="en-US" w:eastAsia="zh-CN"/>
        </w:rPr>
        <w:t>第四，更好发挥法治对改革发展稳定的引领、规范、保障作用。</w:t>
      </w:r>
      <w:r>
        <w:rPr>
          <w:rFonts w:hint="eastAsia" w:ascii="仿宋_GB2312" w:hAnsi="??" w:eastAsia="仿宋_GB2312" w:cs="宋体"/>
          <w:kern w:val="0"/>
          <w:sz w:val="32"/>
          <w:szCs w:val="32"/>
          <w:lang w:val="en-US" w:eastAsia="zh-CN"/>
        </w:rPr>
        <w:t>统筹推进“五位一体”总体布局、协调推进“四个全面”战略布局，要发挥法治的引领、规范、保障作用，以深化依法治国实践检验法治建设成效，着力固根基、扬优势、补短板、强弱项，推动各方面制度更加成熟、更加定型，逐步实现国家治理制度化、程序化、规范化、法治化。</w:t>
      </w:r>
    </w:p>
    <w:p>
      <w:pPr>
        <w:widowControl/>
        <w:spacing w:before="100" w:beforeAutospacing="1" w:after="100" w:afterAutospacing="1" w:line="540" w:lineRule="exact"/>
        <w:ind w:firstLine="643" w:firstLineChars="200"/>
        <w:rPr>
          <w:rFonts w:hint="eastAsia" w:ascii="仿宋_GB2312" w:hAnsi="??" w:eastAsia="仿宋_GB2312" w:cs="宋体"/>
          <w:b w:val="0"/>
          <w:bCs w:val="0"/>
          <w:kern w:val="0"/>
          <w:sz w:val="32"/>
          <w:szCs w:val="32"/>
          <w:lang w:val="en-US" w:eastAsia="zh-CN"/>
        </w:rPr>
      </w:pPr>
      <w:r>
        <w:rPr>
          <w:rFonts w:hint="eastAsia" w:ascii="仿宋_GB2312" w:hAnsi="??" w:eastAsia="仿宋_GB2312" w:cs="宋体"/>
          <w:b/>
          <w:bCs/>
          <w:kern w:val="0"/>
          <w:sz w:val="32"/>
          <w:szCs w:val="32"/>
          <w:lang w:val="en-US" w:eastAsia="zh-CN"/>
        </w:rPr>
        <w:t>第五，建设高素质法治工作队伍。</w:t>
      </w:r>
      <w:r>
        <w:rPr>
          <w:rFonts w:hint="eastAsia" w:ascii="仿宋_GB2312" w:hAnsi="??" w:eastAsia="仿宋_GB2312" w:cs="宋体"/>
          <w:b w:val="0"/>
          <w:bCs w:val="0"/>
          <w:kern w:val="0"/>
          <w:sz w:val="32"/>
          <w:szCs w:val="32"/>
          <w:lang w:val="en-US" w:eastAsia="zh-CN"/>
        </w:rPr>
        <w:t>研究谋划新时代法治人才培养和法治队伍建设长远规划，创新法治人才培养机制，推动东中西部法治工作队伍均衡布局，提高法治工作队伍思想政治素质、业务工作能力、职业道德水准，着力建设一支忠于党、忠于国家、忠于人民、忠于法律的社会主义法治工作队伍，为加快建设社会主义法治国家提供有力人才保障。</w:t>
      </w:r>
    </w:p>
    <w:p>
      <w:pPr>
        <w:widowControl/>
        <w:spacing w:before="100" w:beforeAutospacing="1" w:after="100" w:afterAutospacing="1" w:line="540" w:lineRule="exact"/>
        <w:ind w:firstLine="640" w:firstLineChars="200"/>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司法责任制综合配套改革是司法体制改革的重要内容，事关司法公正高效权威。要抓好改革任务落地见效，真正“让审理者裁判、由裁判者负责”，提高司法公信力，努力让人民群众在每一个司法案件中感受到公平正义。加强法治乡村建设是实施乡村振兴战略、推进全面依法治国的基础性工作。要教育引导农村广大干部群众办事依法、遇事找法、解决问题用法、化解矛盾靠法，积极推进法治乡村建设。要落实行政复议体制改革方案，优化行政复议资源配置，推进相关法律法规修订工作，发挥行政复议公正高效、便民为民的制度优势和化解行政争议的主渠道作用。</w:t>
      </w:r>
    </w:p>
    <w:p>
      <w:pPr>
        <w:widowControl/>
        <w:spacing w:before="100" w:beforeAutospacing="1" w:after="100" w:afterAutospacing="1" w:line="540" w:lineRule="exact"/>
        <w:ind w:firstLine="643" w:firstLineChars="200"/>
        <w:jc w:val="center"/>
        <w:rPr>
          <w:rFonts w:hint="eastAsia" w:ascii="仿宋_GB2312" w:hAnsi="??" w:eastAsia="仿宋_GB2312" w:cs="宋体"/>
          <w:b/>
          <w:bCs/>
          <w:kern w:val="0"/>
          <w:sz w:val="32"/>
          <w:szCs w:val="32"/>
          <w:lang w:val="en-US" w:eastAsia="zh-CN"/>
        </w:rPr>
      </w:pPr>
      <w:r>
        <w:rPr>
          <w:rFonts w:hint="eastAsia" w:ascii="仿宋_GB2312" w:hAnsi="??" w:eastAsia="仿宋_GB2312" w:cs="宋体"/>
          <w:b/>
          <w:bCs/>
          <w:kern w:val="0"/>
          <w:sz w:val="32"/>
          <w:szCs w:val="32"/>
          <w:lang w:val="en-US" w:eastAsia="zh-CN"/>
        </w:rPr>
        <w:t>坚持顶层设计和法治实践相结合，</w:t>
      </w:r>
    </w:p>
    <w:p>
      <w:pPr>
        <w:widowControl/>
        <w:spacing w:before="100" w:beforeAutospacing="1" w:after="100" w:afterAutospacing="1" w:line="540" w:lineRule="exact"/>
        <w:ind w:firstLine="643" w:firstLineChars="200"/>
        <w:jc w:val="center"/>
        <w:rPr>
          <w:rFonts w:hint="eastAsia" w:ascii="仿宋_GB2312" w:hAnsi="??" w:eastAsia="仿宋_GB2312" w:cs="宋体"/>
          <w:b/>
          <w:bCs/>
          <w:kern w:val="0"/>
          <w:sz w:val="32"/>
          <w:szCs w:val="32"/>
          <w:lang w:val="en-US" w:eastAsia="zh-CN"/>
        </w:rPr>
      </w:pPr>
      <w:r>
        <w:rPr>
          <w:rFonts w:hint="eastAsia" w:ascii="仿宋_GB2312" w:hAnsi="??" w:eastAsia="仿宋_GB2312" w:cs="宋体"/>
          <w:b/>
          <w:bCs/>
          <w:kern w:val="0"/>
          <w:sz w:val="32"/>
          <w:szCs w:val="32"/>
          <w:lang w:val="en-US" w:eastAsia="zh-CN"/>
        </w:rPr>
        <w:t>提升法治促进国家治理体系和治理能力现代化的效能</w:t>
      </w:r>
    </w:p>
    <w:p>
      <w:pPr>
        <w:widowControl/>
        <w:spacing w:before="100" w:beforeAutospacing="1" w:after="100" w:afterAutospacing="1" w:line="540" w:lineRule="exact"/>
        <w:ind w:firstLine="640" w:firstLineChars="200"/>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法治建设的中长期目标，要统筹考虑国际国内形势、法治建设进程和人民群众法治需求，同推进国家治理体系和治理能力现代化的要求相协同。我们要不断完善顶层设计，不断创新和深化依法治国实践。</w:t>
      </w:r>
    </w:p>
    <w:p>
      <w:pPr>
        <w:widowControl/>
        <w:spacing w:before="100" w:beforeAutospacing="1" w:after="100" w:afterAutospacing="1" w:line="540" w:lineRule="exact"/>
        <w:ind w:firstLine="640" w:firstLineChars="200"/>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随着时代发展和改革推进，国家治理现代化对科学完备的法律规范体系的要求越来越迫切。我们要在坚持好、完善好已经建立起来并经过实践检验有效的根本制度、基本制度、重要制度的前提下，聚焦法律制度的空白点和冲突点，统筹谋划和整体推进立改废释各项工作，加快建立健全国家治理急需、满足人民日益增长的美好生活需要必备的法律制度。</w:t>
      </w:r>
    </w:p>
    <w:p>
      <w:pPr>
        <w:widowControl/>
        <w:spacing w:before="100" w:beforeAutospacing="1" w:after="100" w:afterAutospacing="1" w:line="540" w:lineRule="exact"/>
        <w:ind w:firstLine="640" w:firstLineChars="200"/>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执法司法公正高效权威才能真正发挥好法治在国家治理中的效能。要加强对法律实施的监督，深化司法体制综合配套改革，推进严格规范公正文明执法，努力提升执法司法的质量、效率、公信力，更好把社会主义法治优势转化为国家治理效能。</w:t>
      </w:r>
    </w:p>
    <w:p>
      <w:pPr>
        <w:widowControl/>
        <w:spacing w:before="100" w:beforeAutospacing="1" w:after="100" w:afterAutospacing="1" w:line="540" w:lineRule="exact"/>
        <w:ind w:firstLine="640" w:firstLineChars="200"/>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法治建设需要全社会共同参与，只有全体人民信仰法治、厉行法治，国家和社会生活才能真正实现在法治轨道上运行。当前，一些领导干部还不善于运用法治思维和法治方式推进工作，领导干部心中无法、以言代法、以权压法是法治建设的大敌。各级领导干部必须强化法治意识，带头尊法学法守法用法，做制度执行的表率。法治的根基在人民。要加大全民普法工作力度，弘扬社会主义法治精神，增强全民法治观念，完善公共法律服务体系，夯实依法治国社会基础。要坚持依法治国和以德治国相结合，把社会主义核心价值观融入法治建设，完善诚信建设长效机制，加大对公德失范、诚信缺失等行为惩处力度，努力形成良好的社会风尚和社会秩序。</w:t>
      </w:r>
    </w:p>
    <w:p>
      <w:pPr>
        <w:widowControl/>
        <w:spacing w:before="100" w:beforeAutospacing="1" w:after="100" w:afterAutospacing="1" w:line="540" w:lineRule="exact"/>
        <w:ind w:firstLine="640" w:firstLineChars="200"/>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60多年前，我们提出和平共处五项原则，得到国际社会广泛认同和支持，成为国际关系基本准则和国际法基本原则。党的十八大以来，我们提出推动构建人类命运共同体的理念，受到各方普遍欢迎和高度评价，被载入联合国一系列决议。我们要乘势而上、顺势而为，坚定维护以联合国宪章宗旨和原则为核心的国际秩序和国际体系，为全球治理体系改革和建设贡献中国智慧和中国方案。</w:t>
      </w:r>
    </w:p>
    <w:p>
      <w:pPr>
        <w:widowControl/>
        <w:spacing w:before="100" w:beforeAutospacing="1" w:after="100" w:afterAutospacing="1" w:line="540" w:lineRule="exact"/>
        <w:ind w:firstLine="640" w:firstLineChars="200"/>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※这是习近平总书记2020年2月5日在中央全面依法治国委员会第三次会议上讲话的一部分。</w:t>
      </w:r>
    </w:p>
    <w:p>
      <w:pPr>
        <w:widowControl/>
        <w:spacing w:before="100" w:beforeAutospacing="1" w:after="100" w:afterAutospacing="1" w:line="540" w:lineRule="exact"/>
        <w:ind w:firstLine="640" w:firstLineChars="200"/>
        <w:rPr>
          <w:rFonts w:hint="eastAsia" w:ascii="仿宋_GB2312" w:hAnsi="??" w:eastAsia="仿宋_GB2312" w:cs="宋体"/>
          <w:b w:val="0"/>
          <w:bCs w:val="0"/>
          <w:kern w:val="0"/>
          <w:sz w:val="32"/>
          <w:szCs w:val="32"/>
          <w:lang w:val="en-US" w:eastAsia="zh-CN"/>
        </w:rPr>
      </w:pPr>
    </w:p>
    <w:p>
      <w:pPr>
        <w:widowControl/>
        <w:spacing w:before="100" w:beforeAutospacing="1" w:after="100" w:afterAutospacing="1" w:line="540" w:lineRule="exact"/>
        <w:ind w:firstLine="640" w:firstLineChars="200"/>
        <w:rPr>
          <w:rFonts w:hint="eastAsia" w:ascii="仿宋_GB2312" w:hAnsi="??" w:eastAsia="仿宋_GB2312" w:cs="宋体"/>
          <w:kern w:val="0"/>
          <w:sz w:val="32"/>
          <w:szCs w:val="32"/>
          <w:lang w:val="en-US" w:eastAsia="zh-CN"/>
        </w:rPr>
      </w:pPr>
    </w:p>
    <w:p>
      <w:pPr>
        <w:widowControl/>
        <w:spacing w:before="100" w:beforeAutospacing="1" w:after="100" w:afterAutospacing="1" w:line="540" w:lineRule="exact"/>
        <w:ind w:firstLine="880" w:firstLineChars="200"/>
        <w:jc w:val="center"/>
        <w:rPr>
          <w:rFonts w:hint="eastAsia" w:ascii="方正小标宋简体" w:eastAsia="方正小标宋简体"/>
          <w:sz w:val="44"/>
          <w:szCs w:val="44"/>
        </w:rPr>
      </w:pPr>
      <w:bookmarkStart w:id="2" w:name="_GoBack"/>
      <w:r>
        <w:rPr>
          <w:rFonts w:hint="eastAsia" w:ascii="方正小标宋简体" w:eastAsia="方正小标宋简体"/>
          <w:sz w:val="44"/>
          <w:szCs w:val="44"/>
        </w:rPr>
        <w:t>中共中央 国务院印发</w:t>
      </w:r>
    </w:p>
    <w:p>
      <w:pPr>
        <w:widowControl/>
        <w:spacing w:before="100" w:beforeAutospacing="1" w:after="100" w:afterAutospacing="1" w:line="540" w:lineRule="exact"/>
        <w:ind w:firstLine="880" w:firstLineChars="200"/>
        <w:jc w:val="center"/>
        <w:rPr>
          <w:rFonts w:hint="eastAsia" w:ascii="仿宋_GB2312" w:hAnsi="??" w:eastAsia="仿宋_GB2312" w:cs="宋体"/>
          <w:kern w:val="0"/>
          <w:sz w:val="32"/>
          <w:szCs w:val="32"/>
          <w:lang w:val="en-US" w:eastAsia="zh-CN"/>
        </w:rPr>
      </w:pPr>
      <w:r>
        <w:rPr>
          <w:rFonts w:hint="eastAsia" w:ascii="方正小标宋简体" w:eastAsia="方正小标宋简体"/>
          <w:sz w:val="44"/>
          <w:szCs w:val="44"/>
        </w:rPr>
        <w:t>《深化新时代教育评价改革总体方案》</w:t>
      </w:r>
      <w:bookmarkEnd w:id="2"/>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0" w:firstLineChars="20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新华社北京10月13日电 近日，中共中央、国务院印发了《深化新时代教育评价改革总体方案》，并发出通知，要求各地区各部门结合实际认真贯彻落实。</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0" w:firstLineChars="20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《深化新时代教育评价改革总体方案》全文如下。</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0" w:firstLineChars="20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教育评价事关教育发展方向，有什么样的评价指挥棒，就有什么样的办学导向。为深入贯彻落实习近平总书记关于教育的重要论述和全国教育大会精神，完善立德树人体制机制，扭转不科学的教育评价导向，坚决克服唯分数、唯升学、唯文凭、唯论文、唯帽子的顽瘴痼疾，提高教育治理能力和水平，加快推进教育现代化、建设教育强国、办好人民满意的教育，现制定如下方案。</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0" w:firstLineChars="200"/>
        <w:textAlignment w:val="auto"/>
        <w:rPr>
          <w:rFonts w:hint="eastAsia" w:ascii="仿宋_GB2312" w:hAnsi="??" w:eastAsia="仿宋_GB2312" w:cs="宋体"/>
          <w:b/>
          <w:bCs/>
          <w:kern w:val="0"/>
          <w:sz w:val="32"/>
          <w:szCs w:val="32"/>
          <w:lang w:val="en-US" w:eastAsia="zh-CN"/>
        </w:rPr>
      </w:pPr>
      <w:r>
        <w:rPr>
          <w:rFonts w:hint="eastAsia" w:ascii="仿宋_GB2312" w:hAnsi="??" w:eastAsia="仿宋_GB2312" w:cs="宋体"/>
          <w:b w:val="0"/>
          <w:bCs w:val="0"/>
          <w:kern w:val="0"/>
          <w:sz w:val="32"/>
          <w:szCs w:val="32"/>
          <w:lang w:val="en-US" w:eastAsia="zh-CN"/>
        </w:rPr>
        <w:t>一、</w:t>
      </w:r>
      <w:r>
        <w:rPr>
          <w:rFonts w:hint="eastAsia" w:ascii="仿宋_GB2312" w:hAnsi="??" w:eastAsia="仿宋_GB2312" w:cs="宋体"/>
          <w:b/>
          <w:bCs/>
          <w:kern w:val="0"/>
          <w:sz w:val="32"/>
          <w:szCs w:val="32"/>
          <w:lang w:val="en-US" w:eastAsia="zh-CN"/>
        </w:rPr>
        <w:t>总体要求</w:t>
      </w:r>
    </w:p>
    <w:p>
      <w:pPr>
        <w:keepNext w:val="0"/>
        <w:keepLines w:val="0"/>
        <w:pageBreakBefore w:val="0"/>
        <w:widowControl/>
        <w:numPr>
          <w:ilvl w:val="0"/>
          <w:numId w:val="0"/>
        </w:numPr>
        <w:kinsoku/>
        <w:wordWrap/>
        <w:overflowPunct/>
        <w:topLinePunct w:val="0"/>
        <w:autoSpaceDE/>
        <w:autoSpaceDN/>
        <w:bidi w:val="0"/>
        <w:adjustRightInd/>
        <w:snapToGrid/>
        <w:spacing w:before="100" w:beforeAutospacing="1" w:after="100" w:afterAutospacing="1" w:line="540" w:lineRule="exact"/>
        <w:ind w:firstLine="640" w:firstLineChars="20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一）指导思想。以习近平新时代中国特色社会主义思想为指导，全面贯彻党的十九大和十九届二中、三中、四中全会精神，全面贯彻党的教育方针，坚持社会主义办学方向，落实立德树人根本任务，遵循教育规律，系统推进教育评价改革，发展素质教育，引导全党全社会树立科学的教育发展观、人才成长观、选人用人观，推动构建服务全民终身学习的教育体系，努力培养担当民族复兴大任的时代新人，培养德智体美劳全面发展的社会主义建设者和接班人。</w:t>
      </w:r>
    </w:p>
    <w:p>
      <w:pPr>
        <w:keepNext w:val="0"/>
        <w:keepLines w:val="0"/>
        <w:pageBreakBefore w:val="0"/>
        <w:widowControl/>
        <w:numPr>
          <w:ilvl w:val="0"/>
          <w:numId w:val="0"/>
        </w:numPr>
        <w:kinsoku/>
        <w:wordWrap/>
        <w:overflowPunct/>
        <w:topLinePunct w:val="0"/>
        <w:autoSpaceDE/>
        <w:autoSpaceDN/>
        <w:bidi w:val="0"/>
        <w:adjustRightInd/>
        <w:snapToGrid/>
        <w:spacing w:before="100" w:beforeAutospacing="1" w:after="100" w:afterAutospacing="1" w:line="540" w:lineRule="exact"/>
        <w:ind w:firstLine="640" w:firstLineChars="20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二）主要原则。坚持立德树人，牢记为党育人、为国育才使命，充分发挥教育评价的指挥棒作用，引导确立科学的育人目标，确保教育正确发展方向。坚持问题导向，从党中央关心、群众关切、社会关注的问题入手，破立并举，推进教育评价关键领域改革取得实质性突破。坚持科学有效，改进结果评价，强化过程评价，探索增值评价，健全综合评价，充分利用信息技术，提高教育评价的科学性、专业性、客观性。坚持统筹兼顾，针对不同主体和不同学段、不同类型教育特点，分类设计、稳步推进，增强改革的系统性、整体性、协同性。坚持中国特色，扎根中国、融通中外，立足时代、面向未来，坚定不移走中国特色社会主义教育发展道路。</w:t>
      </w:r>
    </w:p>
    <w:p>
      <w:pPr>
        <w:keepNext w:val="0"/>
        <w:keepLines w:val="0"/>
        <w:pageBreakBefore w:val="0"/>
        <w:widowControl/>
        <w:numPr>
          <w:ilvl w:val="0"/>
          <w:numId w:val="0"/>
        </w:numPr>
        <w:kinsoku/>
        <w:wordWrap/>
        <w:overflowPunct/>
        <w:topLinePunct w:val="0"/>
        <w:autoSpaceDE/>
        <w:autoSpaceDN/>
        <w:bidi w:val="0"/>
        <w:adjustRightInd/>
        <w:snapToGrid/>
        <w:spacing w:before="100" w:beforeAutospacing="1" w:after="100" w:afterAutospacing="1" w:line="540" w:lineRule="exact"/>
        <w:ind w:firstLine="640" w:firstLineChars="20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三）改革目标。经过5至10年努力，各级党委和政府科学履行职责水平明显提高，各级各类学校立德树人落实机制更加完善，引导教师潜心育人的评价制度更加健全，促进学生全面发展的评价办法更加多元，社会选人用人方式更加科学。到2035年，基本形成富有时代特征、彰显中国特色、体现世界水平的教育评价体系。</w:t>
      </w:r>
    </w:p>
    <w:p>
      <w:pPr>
        <w:keepNext w:val="0"/>
        <w:keepLines w:val="0"/>
        <w:pageBreakBefore w:val="0"/>
        <w:widowControl/>
        <w:numPr>
          <w:ilvl w:val="0"/>
          <w:numId w:val="0"/>
        </w:numPr>
        <w:kinsoku/>
        <w:wordWrap/>
        <w:overflowPunct/>
        <w:topLinePunct w:val="0"/>
        <w:autoSpaceDE/>
        <w:autoSpaceDN/>
        <w:bidi w:val="0"/>
        <w:adjustRightInd/>
        <w:snapToGrid/>
        <w:spacing w:before="100" w:beforeAutospacing="1" w:after="100" w:afterAutospacing="1" w:line="540" w:lineRule="exact"/>
        <w:ind w:firstLine="643" w:firstLineChars="200"/>
        <w:textAlignment w:val="auto"/>
        <w:rPr>
          <w:rFonts w:hint="eastAsia" w:ascii="仿宋_GB2312" w:hAnsi="??" w:eastAsia="仿宋_GB2312" w:cs="宋体"/>
          <w:b/>
          <w:bCs/>
          <w:kern w:val="0"/>
          <w:sz w:val="32"/>
          <w:szCs w:val="32"/>
          <w:lang w:val="en-US" w:eastAsia="zh-CN"/>
        </w:rPr>
      </w:pPr>
      <w:r>
        <w:rPr>
          <w:rFonts w:hint="eastAsia" w:ascii="仿宋_GB2312" w:hAnsi="??" w:eastAsia="仿宋_GB2312" w:cs="宋体"/>
          <w:b/>
          <w:bCs/>
          <w:kern w:val="0"/>
          <w:sz w:val="32"/>
          <w:szCs w:val="32"/>
          <w:lang w:val="en-US" w:eastAsia="zh-CN"/>
        </w:rPr>
        <w:t>二、重点任务</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（一）改革党委和政府教育工作评价，推进科学履行职责</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1.完善党对教育工作全面领导的体制机制。各级党委要认真落实领导责任，建立健全党委统一领导、党政齐抓共管、部门各负其责的教育领导体制，履行好把方向、管大局、作决策、保落实的职责，把思想政治工作作为学校各项工作的生命线紧紧抓在手上，贯穿学校教育管理全过程，牢固树立科学的教育发展理念，坚决克服短视行为、功利化倾向。各级党委和政府要完善定期研究教育工作机制，建立健全党政主要负责同志深入教育一线调研、为师生上思政课、联系学校和年终述职必述教育工作等制度。</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2.完善政府履行教育职责评价。对省级政府主要考核全面贯彻党的教育方针和党中央关于教育工作的决策部署、落实教育优先发展战略、解决人民群众普遍关心的教育突出问题等情况，既评估最终结果，也考核努力程度及进步发展。各地根据国家层面确立的评价内容和指标，结合实际进行细化，作为对下一级政府履行教育职责评价的依据。</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3.坚决纠正片面追求升学率倾向。各级党委和政府要坚持正确政绩观，不得下达升学指标或以中高考升学率考核下一级党委和政府、教育部门、学校和教师，不得将升学率与学校工程项目、经费分配、评优评先等挂钩，不得通过任何形式以中高考成绩为标准奖励教师和学生，严禁公布、宣传、炒作中高考“状元”和升学率。对教育生态问题突出、造成严重社会影响的，依规依法问责追责。</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（二）改革学校评价，推进落实立德树人根本任务</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4.坚持把立德树人成效作为根本标准。加快完善各级各类学校评价标准，将落实党的全面领导、坚持正确办学方向、加强和改进学校党的建设以及党建带团建队建、做好思想政治工作和意识形态工作、依法治校办学、维护安全稳定作为评价学校及其领导人员、管理人员的重要内容，健全学校内部质量保障制度，坚决克服重智育轻德育、重分数轻素质等片面办学行为，促进学生身心健康、全面发展。</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5.完善幼儿园评价。重点评价幼儿园科学保教、规范办园、安全卫生、队伍建设、克服小学化倾向等情况。国家制定幼儿园保教质量评估指南，各省（自治区、直辖市）完善幼儿园质量评估标准，将各类幼儿园纳入质量评估范畴，定期向社会公布评估结果。</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6.改进中小学校评价。义务教育学校重点评价促进学生全面发展、保障学生平等权益、引领教师专业发展、提升教育教学水平、营造和谐育人环境、建设现代学校制度以及学业负担、社会满意度等情况。国家制定义务教育学校办学质量评价标准，完善义务教育质量监测制度，加强监测结果运用，促进义务教育优质均衡发展。普通高中主要评价学生全面发展的培养情况。国家制定普通高中办学质量评价标准，突出实施学生综合素质评价、开展学生发展指导、优化教学资源配置、有序推进选课走班、规范招生办学行为等内容。</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7.健全职业学校评价。重点评价职业学校（含技工院校，下同）德技并修、产教融合、校企合作、育训结合、学生获取职业资格或职业技能等级证书、毕业生就业质量、“双师型”教师（含技工院校“一体化”教师，下同）队伍建设等情况，扩大行业企业参与评价，引导培养高素质劳动者和技术技能人才。深化职普融通，探索具有中国特色的高层次学徒制，完善与职业教育发展相适应的学位授予标准和评价机制。加大职业培训、服务区域和行业的评价权重，将承担职业培训情况作为核定职业学校教师绩效工资总量的重要依据，推动健全终身职业技能培训制度。</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8.改进高等学校评价。推进高校分类评价，引导不同类型高校科学定位，办出特色和水平。改进本科教育教学评估，突出思想政治教育、教授为本科生上课、生师比、生均课程门数、优势特色专业、学位论文（毕业设计）指导、学生管理与服务、学生参加社会实践、毕业生发展、用人单位满意度等。改进学科评估，强化人才培养中心地位，淡化论文收录数、引用率、奖项数等数量指标，突出学科特色、质量和贡献，纠正片面以学术头衔评价学术水平的做法，教师成果严格按署名单位认定、不随人走。探索建立应用型本科评价标准，突出培养相应专业能力和实践应用能力。制定“双一流”建设成效评价办法，突出培养一流人才、产出一流成果、主动服务国家需求，引导高校争创世界一流。改进师范院校评价，把办好师范教育作为第一职责，将培养合格教师作为主要考核指标。改进高校经费使用绩效评价，引导高校加大对教育教学、基础研究的支持力度。改进高校国际交流合作评价，促进提升校际交流、来华留学、合作办学、海外人才引进等工作质量。探索开展高校服务全民终身学习情况评价，促进学习型社会建设。</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（三）改革教师评价，推进践行教书育人使命</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9.坚持把师德师风作为第一标准。坚决克服重科研轻教学、重教书轻育人等现象，把师德表现作为教师资格定期注册、业绩考核、职称评聘、评优奖励首要要求，强化教师思想政治素质考察，推动师德师风建设常态化、长效化。健全教师荣誉制度，发挥典型示范引领作用。全面落实新时代幼儿园、中小学、高校教师职业行为准则，建立师德失范行为通报警示制度。对出现严重师德师风问题的教师，探索实施教育全行业禁入制度。</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10.突出教育教学实绩。把认真履行教育教学职责作为评价教师的基本要求，引导教师上好每一节课、关爱每一个学生。幼儿园教师评价突出保教实践，把以游戏为基本活动促进儿童主动学习和全面发展的能力作为关键指标，纳入学前教育专业人才培养标准、幼儿教师职后培训重要内容。探索建立中小学教师教学述评制度，任课教师每学期须对每个学生进行学业述评，述评情况纳入教师考核内容。完善中小学教师绩效考核办法，绩效工资分配向班主任倾斜，向教学一线和教育教学效果突出的教师倾斜。健全“双师型”教师认定、聘用、考核等评价标准，突出实践技能水平和专业教学能力。规范高校教师聘用和职称评聘条件设置，不得将国（境）外学习经历作为限制性条件。把参与教研活动，编写教材、案例，指导学生毕业设计、就业、创新创业、社会实践、社团活动、竞赛展演等计入工作量。落实教授上课制度，高校应明确教授承担本（专）科生教学最低课时要求，确保教学质量，对未达到要求的给予年度或聘期考核不合格处理。支持建设高质量教学研究类学术期刊，鼓励高校学报向教学研究倾斜。完善教材质量监控和评价机制，实施教材建设国家奖励制度，每四年评选一次，对作出突出贡献的教师按规定进行表彰奖励。完善国家教学成果奖评选制度，优化获奖种类和入选名额分配。</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11.强化一线学生工作。各级各类学校要明确领导干部和教师参与学生工作的具体要求。落实中小学教师家访制度，将家校联系情况纳入教师考核。高校领导班子成员年度述职要把上思政课、联系学生情况作为重要内容。完善学校党政管理干部选拔任用机制，原则上应有思政课教师、辅导员或班主任等学生工作经历。高校青年教师晋升高一级职称，至少须有一年担任辅导员、班主任等学生工作经历。</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12.改进高校教师科研评价。突出质量导向，重点评价学术贡献、社会贡献以及支撑人才培养情况，不得将论文数、项目数、课题经费等科研量化指标与绩效工资分配、奖励挂钩。根据不同学科、不同岗位特点，坚持分类评价，推行代表性成果评价，探索长周期评价，完善同行专家评议机制，注重个人评价与团队评价相结合。探索国防科技等特殊领域教师科研专门评价办法。对取得重大理论创新成果、前沿技术突破、解决重大工程技术难题、在经济社会事业发展中作出重大贡献的，申报高级职称时论文可不作限制性要求。</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13.推进人才称号回归学术性、荣誉性。切实精简人才“帽子”，优化整合涉教育领域各类人才计划。不得把人才称号作为承担科研项目、职称评聘、评优评奖、学位点申报的限制性条件，有关申报书不得设置填写人才称号栏目。依据实际贡献合理确定人才薪酬，不得将人才称号与物质利益简单挂钩。鼓励中西部、东北地区高校“长江学者”等人才称号入选者与学校签订长期服务合同，为实施国家和区域发展战略贡献力量。</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（四）改革学生评价，促进德智体美劳全面发展</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14.树立科学成才观念。坚持以德为先、能力为重、全面发展，坚持面向人人、因材施教、知行合一，坚决改变用分数给学生贴标签的做法，创新德智体美劳过程性评价办法，完善综合素质评价体系，切实引导学生坚定理想信念、厚植爱国主义情怀、加强品德修养、增长知识见识、培养奋斗精神、增强综合素质。</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15.完善德育评价。根据学生不同阶段身心特点，科学设计各级各类教育德育目标要求，引导学生养成良好思想道德、心理素质和行为习惯，传承红色基因，增强“四个自信”，立志听党话、跟党走，立志扎根人民、奉献国家。通过信息化等手段，探索学生、家长、教师以及社区等参与评价的有效方式，客观记录学生品行日常表现和突出表现，特别是践行社会主义核心价值观情况，将其作为学生综合素质评价的重要内容。</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16.强化体育评价。建立日常参与、体质监测和专项运动技能测试相结合的考查机制，将达到国家学生体质健康标准要求作为教育教学考核的重要内容，引导学生养成良好锻炼习惯和健康生活方式，锤炼坚强意志，培养合作精神。中小学校要客观记录学生日常体育参与情况和体质健康监测结果，定期向家长反馈。改进中考体育测试内容、方式和计分办法，形成激励学生加强体育锻炼的有效机制。加强大学生体育评价，探索在高等教育所有阶段开设体育课程。</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17.改进美育评价。把中小学生学习音乐、美术、书法等艺术类课程以及参与学校组织的艺术实践活动情况纳入学业要求，促进学生形成艺术爱好、增强艺术素养，全面提升学生感受美、表现美、鉴赏美、创造美的能力。探索将艺术类科目纳入中考改革试点。推动高校将公共艺术课程与艺术实践纳入人才培养方案，实行学分制管理，学生修满规定学分方能毕业。</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18.加强劳动教育评价。实施大中小学劳动教育指导纲要，明确不同学段、不同年级劳动教育的目标要求，引导学生崇尚劳动、尊重劳动。探索建立劳动清单制度，明确学生参加劳动的具体内容和要求，让学生在实践中养成劳动习惯，学会劳动、学会勤俭。加强过程性评价，将参与劳动教育课程学习和实践情况纳入学生综合素质档案。</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19.严格学业标准。完善各级各类学校学生学业要求，严把出口关。对初、高中毕业班学生，学校须合理安排中高考结束后至暑假前的教育活动。完善过程性考核与结果性考核有机结合的学业考评制度，加强课堂参与和课堂纪律考查，引导学生树立良好学风。探索学士学位论文（毕业设计）抽检试点工作，完善博士、硕士学位论文抽检工作，严肃处理各类学术不端行为。完善实习（实训）考核办法，确保学生足额、真实参加实习（实训）。</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20.深化考试招生制度改革。稳步推进中高考改革，构建引导学生德智体美劳全面发展的考试内容体系，改变相对固化的试题形式，增强试题开放性，减少死记硬背和“机械刷题”现象。加快完善初、高中学生综合素质档案建设和使用办法，逐步转变简单以考试成绩为唯一标准的招生模式。完善高等职业教育“文化素质+职业技能”考试招生办法。深化研究生考试招生改革，加强科研创新能力和实践能力考查。各级各类学校不得通过设置奖金等方式违规争抢生源。探索建立学分银行制度，推动多种形式学习成果的认定、积累和转换，实现不同类型教育、学历与非学历教育、校内与校外教育之间互通衔接，畅通终身学习和人才成长渠道。</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（五）改革用人评价，共同营造教育发展良好环境</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21.树立正确用人导向。党政机关、事业单位、国有企业要带头扭转“唯名校”、“唯学历”的用人导向，建立以品德和能力为导向、以岗位需求为目标的人才使用机制，改变人才“高消费”状况，形成不拘一格降人才的良好局面。</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22.促进人岗相适。各级公务员招录、事业单位和国有企业招聘要按照岗位需求合理制定招考条件、确定学历层次，在招聘公告和实际操作中不得将毕业院校、国（境）外学习经历、学习方式作为限制性条件。职业学校毕业生在落户、就业、参加机关企事业单位招聘、职称评聘、职务职级晋升等方面，与普通学校毕业生同等对待。用人单位要科学合理确定岗位职责，坚持以岗定薪、按劳取酬、优劳优酬，建立重实绩、重贡献的激励机制。</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bCs/>
          <w:kern w:val="0"/>
          <w:sz w:val="32"/>
          <w:szCs w:val="32"/>
          <w:lang w:val="en-US" w:eastAsia="zh-CN"/>
        </w:rPr>
      </w:pPr>
      <w:r>
        <w:rPr>
          <w:rFonts w:hint="eastAsia" w:ascii="仿宋_GB2312" w:hAnsi="??" w:eastAsia="仿宋_GB2312" w:cs="宋体"/>
          <w:b/>
          <w:bCs/>
          <w:kern w:val="0"/>
          <w:sz w:val="32"/>
          <w:szCs w:val="32"/>
          <w:lang w:val="en-US" w:eastAsia="zh-CN"/>
        </w:rPr>
        <w:t>三、组织实施</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一）落实改革责任。各级党委和政府要加强组织领导，把深化教育评价改革列入重要议事日程，根据本方案要求，结合实际明确落实举措。各级党委教育工作领导小组要加强统筹协调、宣传引导和督促落实。中央和国家机关有关部门要结合职责，及时制定配套制度。各级各类学校要狠抓落实，切实破除“五唯”顽瘴痼疾。国家和各省（自治区、直辖市）选择有条件的地方、学校和单位进行试点，发挥示范带动作用。教育督导要将推进教育评价改革情况作为重要内容，对违反相关规定的予以督促纠正，依规依法对相关责任人员严肃处理。</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二）加强专业化建设。构建政府、学校、社会等多元参与的评价体系，建立健全教育督导部门统一负责的教育评估监测机制，发挥专业机构和社会组织作用。严格控制教育评价活动数量和频次，减少多头评价、重复评价，切实减轻基层和学校负担。各地要创新基础教育教研工作指导方式，严格控制以考试方式抽检评测学校和学生。创新评价工具，利用人工智能、大数据等现代信息技术，探索开展学生各年级学习情况全过程纵向评价、德智体美劳全要素横向评价。完善评价结果运用，综合发挥导向、鉴定、诊断、调控和改进作用。加强教师教育评价能力建设，支持有条件的高校设立教育评价、教育测量等相关学科专业，培养教育评价专门人才。加强国家教育考试工作队伍建设，完善教师参与命题和考务工作的激励机制。积极开展教育评价国际合作，参与联合国2030年可持续发展议程教育目标实施监测评估，彰显中国理念，贡献中国方案。</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三）营造良好氛围。党政机关、事业单位、国有企业要履职尽责，带动全社会形成科学的选人用人理念。新闻媒体要加大对科学教育理念和改革政策的宣传解读力度，合理引导预期，增进社会共识。构建覆盖城乡的家庭教育指导服务体系，引导广大家长树立正确的教育观和成才观。各地要及时总结、宣传、推广教育评价改革的成功经验和典型案例，扩大辐射面，提高影响力。</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textAlignment w:val="auto"/>
        <w:rPr>
          <w:rFonts w:hint="eastAsia" w:ascii="仿宋_GB2312" w:hAnsi="??" w:eastAsia="仿宋_GB2312" w:cs="宋体"/>
          <w:b w:val="0"/>
          <w:bCs w:val="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before="100" w:beforeAutospacing="1" w:after="100" w:afterAutospacing="1" w:line="540" w:lineRule="exact"/>
        <w:ind w:firstLine="642" w:firstLineChars="0"/>
        <w:jc w:val="right"/>
        <w:textAlignment w:val="auto"/>
        <w:rPr>
          <w:rFonts w:hint="eastAsia" w:ascii="仿宋_GB2312" w:hAnsi="??" w:eastAsia="仿宋_GB2312" w:cs="宋体"/>
          <w:b w:val="0"/>
          <w:bCs w:val="0"/>
          <w:kern w:val="0"/>
          <w:sz w:val="32"/>
          <w:szCs w:val="32"/>
          <w:lang w:val="en-US" w:eastAsia="zh-CN"/>
        </w:rPr>
      </w:pPr>
      <w:r>
        <w:rPr>
          <w:rFonts w:hint="eastAsia" w:ascii="仿宋_GB2312" w:hAnsi="??" w:eastAsia="仿宋_GB2312" w:cs="宋体"/>
          <w:b w:val="0"/>
          <w:bCs w:val="0"/>
          <w:kern w:val="0"/>
          <w:sz w:val="32"/>
          <w:szCs w:val="32"/>
          <w:lang w:val="en-US" w:eastAsia="zh-CN"/>
        </w:rPr>
        <w:t>（新华社北京10月13日电）</w:t>
      </w:r>
    </w:p>
    <w:p>
      <w:pPr>
        <w:spacing w:before="100" w:beforeAutospacing="1" w:after="100" w:afterAutospacing="1" w:line="540" w:lineRule="exact"/>
        <w:jc w:val="both"/>
        <w:rPr>
          <w:rFonts w:ascii="仿宋_GB2312" w:eastAsia="仿宋_GB2312"/>
          <w:sz w:val="32"/>
          <w:szCs w:val="32"/>
        </w:rPr>
      </w:pPr>
    </w:p>
    <w:sectPr>
      <w:footerReference r:id="rId4" w:type="default"/>
      <w:pgSz w:w="12474" w:h="16840"/>
      <w:pgMar w:top="1440" w:right="1531" w:bottom="1440" w:left="153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大标宋简体">
    <w:altName w:val="宋体"/>
    <w:panose1 w:val="00000000000000000000"/>
    <w:charset w:val="86"/>
    <w:family w:val="roma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pP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0"/>
                            <w:rPr>
                              <w:rStyle w:val="21"/>
                            </w:rPr>
                          </w:pPr>
                          <w:r>
                            <w:rPr>
                              <w:rStyle w:val="21"/>
                            </w:rPr>
                            <w:fldChar w:fldCharType="begin"/>
                          </w:r>
                          <w:r>
                            <w:rPr>
                              <w:rStyle w:val="21"/>
                            </w:rPr>
                            <w:instrText xml:space="preserve">PAGE  </w:instrText>
                          </w:r>
                          <w:r>
                            <w:rPr>
                              <w:rStyle w:val="21"/>
                            </w:rPr>
                            <w:fldChar w:fldCharType="separate"/>
                          </w:r>
                          <w:r>
                            <w:rPr>
                              <w:rStyle w:val="21"/>
                            </w:rPr>
                            <w:t>64</w:t>
                          </w:r>
                          <w:r>
                            <w:rPr>
                              <w:rStyle w:val="21"/>
                            </w:rP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c17eWrgEAAEsD&#10;AAAOAAAAAAAAAAEAIAAAAB4BAABkcnMvZTJvRG9jLnhtbFBLBQYAAAAABgAGAFkBAAA+BQAAAAA=&#10;">
              <v:fill on="f" focussize="0,0"/>
              <v:stroke on="f"/>
              <v:imagedata o:title=""/>
              <o:lock v:ext="edit" aspectratio="f"/>
              <v:textbox inset="0mm,0mm,0mm,0mm" style="mso-fit-shape-to-text:t;">
                <w:txbxContent>
                  <w:p>
                    <w:pPr>
                      <w:pStyle w:val="10"/>
                      <w:rPr>
                        <w:rStyle w:val="21"/>
                      </w:rPr>
                    </w:pPr>
                    <w:r>
                      <w:rPr>
                        <w:rStyle w:val="21"/>
                      </w:rPr>
                      <w:fldChar w:fldCharType="begin"/>
                    </w:r>
                    <w:r>
                      <w:rPr>
                        <w:rStyle w:val="21"/>
                      </w:rPr>
                      <w:instrText xml:space="preserve">PAGE  </w:instrText>
                    </w:r>
                    <w:r>
                      <w:rPr>
                        <w:rStyle w:val="21"/>
                      </w:rPr>
                      <w:fldChar w:fldCharType="separate"/>
                    </w:r>
                    <w:r>
                      <w:rPr>
                        <w:rStyle w:val="21"/>
                      </w:rPr>
                      <w:t>64</w:t>
                    </w:r>
                    <w:r>
                      <w:rPr>
                        <w:rStyle w:val="21"/>
                      </w:rPr>
                      <w:fldChar w:fldCharType="end"/>
                    </w:r>
                  </w:p>
                </w:txbxContent>
              </v:textbox>
            </v:shape>
          </w:pict>
        </mc:Fallback>
      </mc:AlternateContent>
    </w:r>
  </w:p>
  <w:p>
    <w:pPr>
      <w:pStyle w:val="1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A4C"/>
    <w:rsid w:val="00044B6F"/>
    <w:rsid w:val="000530BA"/>
    <w:rsid w:val="000541DA"/>
    <w:rsid w:val="00057E5E"/>
    <w:rsid w:val="0006088A"/>
    <w:rsid w:val="00060D56"/>
    <w:rsid w:val="00064ED0"/>
    <w:rsid w:val="00065071"/>
    <w:rsid w:val="00077C99"/>
    <w:rsid w:val="00090991"/>
    <w:rsid w:val="00094468"/>
    <w:rsid w:val="00096B2E"/>
    <w:rsid w:val="000A3FD9"/>
    <w:rsid w:val="000B0140"/>
    <w:rsid w:val="000D3B66"/>
    <w:rsid w:val="000D620F"/>
    <w:rsid w:val="000D7FA0"/>
    <w:rsid w:val="000F2744"/>
    <w:rsid w:val="001041BA"/>
    <w:rsid w:val="00111127"/>
    <w:rsid w:val="001116B7"/>
    <w:rsid w:val="00115005"/>
    <w:rsid w:val="001208D6"/>
    <w:rsid w:val="00121C20"/>
    <w:rsid w:val="00150BE6"/>
    <w:rsid w:val="00152F76"/>
    <w:rsid w:val="00180D3B"/>
    <w:rsid w:val="00181D16"/>
    <w:rsid w:val="00181F3C"/>
    <w:rsid w:val="001A7082"/>
    <w:rsid w:val="001B00EE"/>
    <w:rsid w:val="001C0B8A"/>
    <w:rsid w:val="001C19BF"/>
    <w:rsid w:val="001D68E2"/>
    <w:rsid w:val="001E4359"/>
    <w:rsid w:val="00207C3E"/>
    <w:rsid w:val="002177D8"/>
    <w:rsid w:val="00217BC2"/>
    <w:rsid w:val="00220582"/>
    <w:rsid w:val="00220601"/>
    <w:rsid w:val="00221D64"/>
    <w:rsid w:val="00243435"/>
    <w:rsid w:val="00253650"/>
    <w:rsid w:val="00256AB5"/>
    <w:rsid w:val="00263F86"/>
    <w:rsid w:val="00266A2E"/>
    <w:rsid w:val="0028751D"/>
    <w:rsid w:val="002936B2"/>
    <w:rsid w:val="002A4652"/>
    <w:rsid w:val="002A4C02"/>
    <w:rsid w:val="002A5489"/>
    <w:rsid w:val="002A64EB"/>
    <w:rsid w:val="002B11FF"/>
    <w:rsid w:val="002B51EF"/>
    <w:rsid w:val="002B7C42"/>
    <w:rsid w:val="002C1C32"/>
    <w:rsid w:val="002C302D"/>
    <w:rsid w:val="002C428D"/>
    <w:rsid w:val="002C5D1C"/>
    <w:rsid w:val="002E131A"/>
    <w:rsid w:val="00305826"/>
    <w:rsid w:val="00305CAA"/>
    <w:rsid w:val="00307CFD"/>
    <w:rsid w:val="003252FC"/>
    <w:rsid w:val="00326A58"/>
    <w:rsid w:val="00330FA2"/>
    <w:rsid w:val="00337731"/>
    <w:rsid w:val="00350EAD"/>
    <w:rsid w:val="003657E9"/>
    <w:rsid w:val="00380580"/>
    <w:rsid w:val="00383975"/>
    <w:rsid w:val="003973D6"/>
    <w:rsid w:val="003974BD"/>
    <w:rsid w:val="003B5854"/>
    <w:rsid w:val="003B61A3"/>
    <w:rsid w:val="003C2B81"/>
    <w:rsid w:val="0040565B"/>
    <w:rsid w:val="00425800"/>
    <w:rsid w:val="0043764C"/>
    <w:rsid w:val="00440934"/>
    <w:rsid w:val="004560B1"/>
    <w:rsid w:val="00463BA7"/>
    <w:rsid w:val="004646C4"/>
    <w:rsid w:val="00464FB6"/>
    <w:rsid w:val="00465918"/>
    <w:rsid w:val="00486C44"/>
    <w:rsid w:val="00493B65"/>
    <w:rsid w:val="004A3427"/>
    <w:rsid w:val="004B4190"/>
    <w:rsid w:val="004B5BC7"/>
    <w:rsid w:val="004B6849"/>
    <w:rsid w:val="004C07F3"/>
    <w:rsid w:val="004D02DA"/>
    <w:rsid w:val="004E4938"/>
    <w:rsid w:val="005007FE"/>
    <w:rsid w:val="00510559"/>
    <w:rsid w:val="00510A4C"/>
    <w:rsid w:val="0053452F"/>
    <w:rsid w:val="00541D98"/>
    <w:rsid w:val="00555650"/>
    <w:rsid w:val="005629AC"/>
    <w:rsid w:val="00566098"/>
    <w:rsid w:val="005748E8"/>
    <w:rsid w:val="00584E3F"/>
    <w:rsid w:val="00596454"/>
    <w:rsid w:val="005973DE"/>
    <w:rsid w:val="005A5A56"/>
    <w:rsid w:val="005A61E7"/>
    <w:rsid w:val="005A63AD"/>
    <w:rsid w:val="005B4E5F"/>
    <w:rsid w:val="005B6F91"/>
    <w:rsid w:val="005C12A7"/>
    <w:rsid w:val="005C5CC0"/>
    <w:rsid w:val="005D6D42"/>
    <w:rsid w:val="005F40B2"/>
    <w:rsid w:val="005F72CA"/>
    <w:rsid w:val="006056D2"/>
    <w:rsid w:val="00613F44"/>
    <w:rsid w:val="0061792B"/>
    <w:rsid w:val="006243B9"/>
    <w:rsid w:val="006333D7"/>
    <w:rsid w:val="0063633B"/>
    <w:rsid w:val="00640B4E"/>
    <w:rsid w:val="006425B4"/>
    <w:rsid w:val="00642799"/>
    <w:rsid w:val="0065053E"/>
    <w:rsid w:val="00665041"/>
    <w:rsid w:val="00672201"/>
    <w:rsid w:val="006741B0"/>
    <w:rsid w:val="006776EC"/>
    <w:rsid w:val="00681BB9"/>
    <w:rsid w:val="006836FE"/>
    <w:rsid w:val="00683D3E"/>
    <w:rsid w:val="006913FE"/>
    <w:rsid w:val="00695605"/>
    <w:rsid w:val="006A3BB9"/>
    <w:rsid w:val="006B0BC3"/>
    <w:rsid w:val="006B3A9E"/>
    <w:rsid w:val="006C35E0"/>
    <w:rsid w:val="006E0351"/>
    <w:rsid w:val="006F495E"/>
    <w:rsid w:val="006F6E03"/>
    <w:rsid w:val="006F730B"/>
    <w:rsid w:val="007017DD"/>
    <w:rsid w:val="00711336"/>
    <w:rsid w:val="00714DEA"/>
    <w:rsid w:val="00715C33"/>
    <w:rsid w:val="00720AE5"/>
    <w:rsid w:val="0076259B"/>
    <w:rsid w:val="00767295"/>
    <w:rsid w:val="00774462"/>
    <w:rsid w:val="00776461"/>
    <w:rsid w:val="00776E30"/>
    <w:rsid w:val="007A51D1"/>
    <w:rsid w:val="007B0016"/>
    <w:rsid w:val="007B0169"/>
    <w:rsid w:val="007B4973"/>
    <w:rsid w:val="007C2365"/>
    <w:rsid w:val="007C5CDF"/>
    <w:rsid w:val="007D6A55"/>
    <w:rsid w:val="007E25AC"/>
    <w:rsid w:val="00800240"/>
    <w:rsid w:val="00807F45"/>
    <w:rsid w:val="0081762B"/>
    <w:rsid w:val="00817A55"/>
    <w:rsid w:val="008212BE"/>
    <w:rsid w:val="00821941"/>
    <w:rsid w:val="00824F79"/>
    <w:rsid w:val="008330AD"/>
    <w:rsid w:val="008474E0"/>
    <w:rsid w:val="00856656"/>
    <w:rsid w:val="00863F4C"/>
    <w:rsid w:val="00877F28"/>
    <w:rsid w:val="0088317D"/>
    <w:rsid w:val="00884798"/>
    <w:rsid w:val="008855F3"/>
    <w:rsid w:val="008B61E2"/>
    <w:rsid w:val="008D57C9"/>
    <w:rsid w:val="008F1C31"/>
    <w:rsid w:val="008F4E4C"/>
    <w:rsid w:val="008F7082"/>
    <w:rsid w:val="009060BE"/>
    <w:rsid w:val="00912E9C"/>
    <w:rsid w:val="0091507F"/>
    <w:rsid w:val="00917672"/>
    <w:rsid w:val="00920F8A"/>
    <w:rsid w:val="0093012F"/>
    <w:rsid w:val="0093032F"/>
    <w:rsid w:val="00940BD6"/>
    <w:rsid w:val="00944227"/>
    <w:rsid w:val="00951005"/>
    <w:rsid w:val="00953739"/>
    <w:rsid w:val="00957266"/>
    <w:rsid w:val="0097279E"/>
    <w:rsid w:val="00973098"/>
    <w:rsid w:val="0098545B"/>
    <w:rsid w:val="00990402"/>
    <w:rsid w:val="00994B55"/>
    <w:rsid w:val="009B26A1"/>
    <w:rsid w:val="009B4AC6"/>
    <w:rsid w:val="009D0D56"/>
    <w:rsid w:val="009E16C5"/>
    <w:rsid w:val="009E2119"/>
    <w:rsid w:val="009E2AF7"/>
    <w:rsid w:val="009E3860"/>
    <w:rsid w:val="009E5546"/>
    <w:rsid w:val="00A50218"/>
    <w:rsid w:val="00A622F3"/>
    <w:rsid w:val="00A65AB0"/>
    <w:rsid w:val="00A831DF"/>
    <w:rsid w:val="00AB25E4"/>
    <w:rsid w:val="00AB439A"/>
    <w:rsid w:val="00AB7F48"/>
    <w:rsid w:val="00AE13AD"/>
    <w:rsid w:val="00AF1C89"/>
    <w:rsid w:val="00B02E95"/>
    <w:rsid w:val="00B063F2"/>
    <w:rsid w:val="00B10673"/>
    <w:rsid w:val="00B34238"/>
    <w:rsid w:val="00B35A96"/>
    <w:rsid w:val="00B45841"/>
    <w:rsid w:val="00B55141"/>
    <w:rsid w:val="00B55467"/>
    <w:rsid w:val="00B603BC"/>
    <w:rsid w:val="00B6375C"/>
    <w:rsid w:val="00B71606"/>
    <w:rsid w:val="00B72C90"/>
    <w:rsid w:val="00B73DC5"/>
    <w:rsid w:val="00B73FD1"/>
    <w:rsid w:val="00B767B4"/>
    <w:rsid w:val="00B8399F"/>
    <w:rsid w:val="00B84B44"/>
    <w:rsid w:val="00B85358"/>
    <w:rsid w:val="00B87BA1"/>
    <w:rsid w:val="00BB0EF3"/>
    <w:rsid w:val="00BC01E7"/>
    <w:rsid w:val="00BC6FE6"/>
    <w:rsid w:val="00BD203D"/>
    <w:rsid w:val="00BD5E4D"/>
    <w:rsid w:val="00BE5CEB"/>
    <w:rsid w:val="00BF2E6D"/>
    <w:rsid w:val="00C0287A"/>
    <w:rsid w:val="00C03A2E"/>
    <w:rsid w:val="00C11C4B"/>
    <w:rsid w:val="00C24A14"/>
    <w:rsid w:val="00C3041C"/>
    <w:rsid w:val="00C40C76"/>
    <w:rsid w:val="00C50CEF"/>
    <w:rsid w:val="00C56055"/>
    <w:rsid w:val="00C633B2"/>
    <w:rsid w:val="00C81532"/>
    <w:rsid w:val="00C9501A"/>
    <w:rsid w:val="00CA3391"/>
    <w:rsid w:val="00CB1403"/>
    <w:rsid w:val="00CB5082"/>
    <w:rsid w:val="00CB7092"/>
    <w:rsid w:val="00CC0019"/>
    <w:rsid w:val="00CC7C47"/>
    <w:rsid w:val="00CD0268"/>
    <w:rsid w:val="00CE28D5"/>
    <w:rsid w:val="00CF427D"/>
    <w:rsid w:val="00D029F1"/>
    <w:rsid w:val="00D06589"/>
    <w:rsid w:val="00D1315F"/>
    <w:rsid w:val="00D6149F"/>
    <w:rsid w:val="00D62B80"/>
    <w:rsid w:val="00D82293"/>
    <w:rsid w:val="00DA3860"/>
    <w:rsid w:val="00DB19A9"/>
    <w:rsid w:val="00DB2381"/>
    <w:rsid w:val="00DB7898"/>
    <w:rsid w:val="00DC0DFF"/>
    <w:rsid w:val="00DC6691"/>
    <w:rsid w:val="00DD0B48"/>
    <w:rsid w:val="00DD4F7E"/>
    <w:rsid w:val="00DD6851"/>
    <w:rsid w:val="00DF42F2"/>
    <w:rsid w:val="00E10578"/>
    <w:rsid w:val="00E244BD"/>
    <w:rsid w:val="00E27AE5"/>
    <w:rsid w:val="00E45730"/>
    <w:rsid w:val="00E46414"/>
    <w:rsid w:val="00E56237"/>
    <w:rsid w:val="00E56CCC"/>
    <w:rsid w:val="00E70CFB"/>
    <w:rsid w:val="00E8213C"/>
    <w:rsid w:val="00E8320E"/>
    <w:rsid w:val="00E852BD"/>
    <w:rsid w:val="00E858AB"/>
    <w:rsid w:val="00E8717C"/>
    <w:rsid w:val="00E957A6"/>
    <w:rsid w:val="00EA32CE"/>
    <w:rsid w:val="00EE4AAD"/>
    <w:rsid w:val="00EE7BDC"/>
    <w:rsid w:val="00EF66EE"/>
    <w:rsid w:val="00EF6761"/>
    <w:rsid w:val="00F1640A"/>
    <w:rsid w:val="00F17E96"/>
    <w:rsid w:val="00F27315"/>
    <w:rsid w:val="00F377E1"/>
    <w:rsid w:val="00F73925"/>
    <w:rsid w:val="00F853A7"/>
    <w:rsid w:val="00F8659C"/>
    <w:rsid w:val="00FB7558"/>
    <w:rsid w:val="00FC590A"/>
    <w:rsid w:val="00FF3FD0"/>
    <w:rsid w:val="00FF43D0"/>
    <w:rsid w:val="00FF4C8B"/>
    <w:rsid w:val="00FF796C"/>
    <w:rsid w:val="108469FB"/>
    <w:rsid w:val="5E5D240A"/>
    <w:rsid w:val="5F341A68"/>
    <w:rsid w:val="65781B7A"/>
    <w:rsid w:val="7251448B"/>
    <w:rsid w:val="733D114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ocked="1"/>
    <w:lsdException w:qFormat="1" w:uiPriority="39" w:semiHidden="0" w:name="toc 2" w:locked="1"/>
    <w:lsdException w:qFormat="1" w:uiPriority="39" w:semiHidden="0" w:name="toc 3" w:locked="1"/>
    <w:lsdException w:unhideWhenUsed="0" w:uiPriority="0" w:semiHidden="0" w:name="toc 4" w:locked="1"/>
    <w:lsdException w:qFormat="1" w:unhideWhenUsed="0" w:uiPriority="0" w:semiHidden="0" w:name="toc 5" w:locked="1"/>
    <w:lsdException w:unhideWhenUsed="0" w:uiPriority="0" w:semiHidden="0" w:name="toc 6" w:locked="1"/>
    <w:lsdException w:qFormat="1" w:unhideWhenUsed="0" w:uiPriority="0" w:semiHidden="0" w:name="toc 7" w:locked="1"/>
    <w:lsdException w:qFormat="1"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31"/>
    <w:qFormat/>
    <w:locked/>
    <w:uiPriority w:val="0"/>
    <w:pPr>
      <w:keepNext/>
      <w:keepLines/>
      <w:spacing w:before="340" w:after="330" w:line="578" w:lineRule="auto"/>
      <w:outlineLvl w:val="0"/>
    </w:pPr>
    <w:rPr>
      <w:b/>
      <w:bCs/>
      <w:kern w:val="44"/>
      <w:sz w:val="44"/>
      <w:szCs w:val="44"/>
    </w:rPr>
  </w:style>
  <w:style w:type="paragraph" w:styleId="3">
    <w:name w:val="heading 3"/>
    <w:basedOn w:val="1"/>
    <w:next w:val="1"/>
    <w:unhideWhenUsed/>
    <w:qFormat/>
    <w:locked/>
    <w:uiPriority w:val="0"/>
    <w:pPr>
      <w:spacing w:beforeAutospacing="1" w:afterAutospacing="1"/>
      <w:jc w:val="left"/>
      <w:outlineLvl w:val="2"/>
    </w:pPr>
    <w:rPr>
      <w:rFonts w:hint="eastAsia" w:ascii="宋体" w:hAnsi="宋体" w:eastAsia="宋体" w:cs="Times New Roman"/>
      <w:b/>
      <w:kern w:val="0"/>
      <w:sz w:val="27"/>
      <w:szCs w:val="27"/>
    </w:rPr>
  </w:style>
  <w:style w:type="character" w:default="1" w:styleId="19">
    <w:name w:val="Default Paragraph Font"/>
    <w:semiHidden/>
    <w:unhideWhenUsed/>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4">
    <w:name w:val="toc 7"/>
    <w:basedOn w:val="1"/>
    <w:next w:val="1"/>
    <w:qFormat/>
    <w:locked/>
    <w:uiPriority w:val="0"/>
    <w:pPr>
      <w:ind w:left="1260"/>
      <w:jc w:val="left"/>
    </w:pPr>
    <w:rPr>
      <w:rFonts w:cs="Calibri"/>
      <w:sz w:val="18"/>
      <w:szCs w:val="18"/>
    </w:rPr>
  </w:style>
  <w:style w:type="paragraph" w:styleId="5">
    <w:name w:val="annotation text"/>
    <w:basedOn w:val="1"/>
    <w:semiHidden/>
    <w:unhideWhenUsed/>
    <w:uiPriority w:val="99"/>
    <w:pPr>
      <w:jc w:val="left"/>
    </w:pPr>
  </w:style>
  <w:style w:type="paragraph" w:styleId="6">
    <w:name w:val="toc 5"/>
    <w:basedOn w:val="1"/>
    <w:next w:val="1"/>
    <w:qFormat/>
    <w:locked/>
    <w:uiPriority w:val="0"/>
    <w:pPr>
      <w:ind w:left="840"/>
      <w:jc w:val="left"/>
    </w:pPr>
    <w:rPr>
      <w:rFonts w:cs="Calibri"/>
      <w:sz w:val="18"/>
      <w:szCs w:val="18"/>
    </w:rPr>
  </w:style>
  <w:style w:type="paragraph" w:styleId="7">
    <w:name w:val="toc 3"/>
    <w:basedOn w:val="1"/>
    <w:next w:val="1"/>
    <w:unhideWhenUsed/>
    <w:qFormat/>
    <w:locked/>
    <w:uiPriority w:val="39"/>
    <w:pPr>
      <w:ind w:left="420"/>
      <w:jc w:val="left"/>
    </w:pPr>
    <w:rPr>
      <w:rFonts w:cs="Calibri"/>
      <w:i/>
      <w:iCs/>
      <w:sz w:val="20"/>
      <w:szCs w:val="20"/>
    </w:rPr>
  </w:style>
  <w:style w:type="paragraph" w:styleId="8">
    <w:name w:val="toc 8"/>
    <w:basedOn w:val="1"/>
    <w:next w:val="1"/>
    <w:qFormat/>
    <w:locked/>
    <w:uiPriority w:val="0"/>
    <w:pPr>
      <w:ind w:left="1470"/>
      <w:jc w:val="left"/>
    </w:pPr>
    <w:rPr>
      <w:rFonts w:cs="Calibri"/>
      <w:sz w:val="18"/>
      <w:szCs w:val="18"/>
    </w:rPr>
  </w:style>
  <w:style w:type="paragraph" w:styleId="9">
    <w:name w:val="Balloon Text"/>
    <w:basedOn w:val="1"/>
    <w:link w:val="33"/>
    <w:semiHidden/>
    <w:unhideWhenUsed/>
    <w:uiPriority w:val="99"/>
    <w:rPr>
      <w:sz w:val="18"/>
      <w:szCs w:val="18"/>
    </w:rPr>
  </w:style>
  <w:style w:type="paragraph" w:styleId="10">
    <w:name w:val="footer"/>
    <w:basedOn w:val="1"/>
    <w:link w:val="23"/>
    <w:uiPriority w:val="99"/>
    <w:pPr>
      <w:tabs>
        <w:tab w:val="center" w:pos="4153"/>
        <w:tab w:val="right" w:pos="8306"/>
      </w:tabs>
      <w:snapToGrid w:val="0"/>
      <w:jc w:val="left"/>
    </w:pPr>
    <w:rPr>
      <w:sz w:val="18"/>
      <w:szCs w:val="18"/>
    </w:rPr>
  </w:style>
  <w:style w:type="paragraph" w:styleId="11">
    <w:name w:val="header"/>
    <w:basedOn w:val="1"/>
    <w:link w:val="24"/>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locked/>
    <w:uiPriority w:val="39"/>
    <w:pPr>
      <w:spacing w:before="120" w:after="120"/>
      <w:jc w:val="left"/>
    </w:pPr>
    <w:rPr>
      <w:rFonts w:cs="Calibri"/>
      <w:b/>
      <w:bCs/>
      <w:caps/>
      <w:sz w:val="20"/>
      <w:szCs w:val="20"/>
    </w:rPr>
  </w:style>
  <w:style w:type="paragraph" w:styleId="13">
    <w:name w:val="toc 4"/>
    <w:basedOn w:val="1"/>
    <w:next w:val="1"/>
    <w:locked/>
    <w:uiPriority w:val="0"/>
    <w:pPr>
      <w:ind w:left="630"/>
      <w:jc w:val="left"/>
    </w:pPr>
    <w:rPr>
      <w:rFonts w:cs="Calibri"/>
      <w:sz w:val="18"/>
      <w:szCs w:val="18"/>
    </w:rPr>
  </w:style>
  <w:style w:type="paragraph" w:styleId="14">
    <w:name w:val="toc 6"/>
    <w:basedOn w:val="1"/>
    <w:next w:val="1"/>
    <w:locked/>
    <w:uiPriority w:val="0"/>
    <w:pPr>
      <w:ind w:left="1050"/>
      <w:jc w:val="left"/>
    </w:pPr>
    <w:rPr>
      <w:rFonts w:cs="Calibri"/>
      <w:sz w:val="18"/>
      <w:szCs w:val="18"/>
    </w:rPr>
  </w:style>
  <w:style w:type="paragraph" w:styleId="15">
    <w:name w:val="toc 2"/>
    <w:basedOn w:val="1"/>
    <w:next w:val="1"/>
    <w:unhideWhenUsed/>
    <w:qFormat/>
    <w:locked/>
    <w:uiPriority w:val="39"/>
    <w:pPr>
      <w:ind w:left="210"/>
      <w:jc w:val="left"/>
    </w:pPr>
    <w:rPr>
      <w:rFonts w:cs="Calibri"/>
      <w:smallCaps/>
      <w:sz w:val="20"/>
      <w:szCs w:val="20"/>
    </w:rPr>
  </w:style>
  <w:style w:type="paragraph" w:styleId="16">
    <w:name w:val="toc 9"/>
    <w:basedOn w:val="1"/>
    <w:next w:val="1"/>
    <w:locked/>
    <w:uiPriority w:val="0"/>
    <w:pPr>
      <w:ind w:left="1680"/>
      <w:jc w:val="left"/>
    </w:pPr>
    <w:rPr>
      <w:rFonts w:cs="Calibri"/>
      <w:sz w:val="18"/>
      <w:szCs w:val="18"/>
    </w:rPr>
  </w:style>
  <w:style w:type="paragraph" w:styleId="17">
    <w:name w:val="Normal (Web)"/>
    <w:basedOn w:val="1"/>
    <w:uiPriority w:val="99"/>
    <w:pPr>
      <w:widowControl/>
      <w:spacing w:before="100" w:beforeAutospacing="1" w:after="100" w:afterAutospacing="1"/>
      <w:jc w:val="left"/>
    </w:pPr>
    <w:rPr>
      <w:rFonts w:ascii="宋体" w:hAnsi="宋体" w:cs="宋体"/>
      <w:kern w:val="0"/>
      <w:sz w:val="24"/>
      <w:szCs w:val="24"/>
    </w:rPr>
  </w:style>
  <w:style w:type="character" w:styleId="20">
    <w:name w:val="Strong"/>
    <w:basedOn w:val="19"/>
    <w:qFormat/>
    <w:uiPriority w:val="22"/>
    <w:rPr>
      <w:rFonts w:cs="Times New Roman"/>
      <w:b/>
      <w:bCs/>
    </w:rPr>
  </w:style>
  <w:style w:type="character" w:styleId="21">
    <w:name w:val="page number"/>
    <w:basedOn w:val="19"/>
    <w:uiPriority w:val="99"/>
    <w:rPr>
      <w:rFonts w:cs="Times New Roman"/>
    </w:rPr>
  </w:style>
  <w:style w:type="character" w:styleId="22">
    <w:name w:val="Hyperlink"/>
    <w:basedOn w:val="19"/>
    <w:unhideWhenUsed/>
    <w:qFormat/>
    <w:uiPriority w:val="99"/>
    <w:rPr>
      <w:color w:val="0000FF"/>
      <w:u w:val="single"/>
    </w:rPr>
  </w:style>
  <w:style w:type="character" w:customStyle="1" w:styleId="23">
    <w:name w:val="页脚 Char"/>
    <w:basedOn w:val="19"/>
    <w:link w:val="10"/>
    <w:locked/>
    <w:uiPriority w:val="99"/>
    <w:rPr>
      <w:rFonts w:cs="Times New Roman"/>
      <w:sz w:val="18"/>
      <w:szCs w:val="18"/>
    </w:rPr>
  </w:style>
  <w:style w:type="character" w:customStyle="1" w:styleId="24">
    <w:name w:val="页眉 Char"/>
    <w:basedOn w:val="19"/>
    <w:link w:val="11"/>
    <w:locked/>
    <w:uiPriority w:val="99"/>
    <w:rPr>
      <w:rFonts w:cs="Times New Roman"/>
      <w:sz w:val="18"/>
      <w:szCs w:val="18"/>
    </w:rPr>
  </w:style>
  <w:style w:type="character" w:customStyle="1" w:styleId="25">
    <w:name w:val="fontstyle01"/>
    <w:basedOn w:val="19"/>
    <w:uiPriority w:val="99"/>
    <w:rPr>
      <w:rFonts w:ascii="楷体" w:hAnsi="楷体" w:eastAsia="楷体" w:cs="Times New Roman"/>
      <w:color w:val="000000"/>
      <w:sz w:val="32"/>
      <w:szCs w:val="32"/>
    </w:rPr>
  </w:style>
  <w:style w:type="character" w:customStyle="1" w:styleId="26">
    <w:name w:val="fontstyle11"/>
    <w:basedOn w:val="19"/>
    <w:qFormat/>
    <w:uiPriority w:val="99"/>
    <w:rPr>
      <w:rFonts w:ascii="方正大标宋简体" w:eastAsia="方正大标宋简体" w:cs="Times New Roman"/>
      <w:color w:val="FF0000"/>
      <w:sz w:val="84"/>
      <w:szCs w:val="84"/>
    </w:rPr>
  </w:style>
  <w:style w:type="character" w:customStyle="1" w:styleId="27">
    <w:name w:val="fontstyle31"/>
    <w:basedOn w:val="19"/>
    <w:uiPriority w:val="99"/>
    <w:rPr>
      <w:rFonts w:ascii="黑体" w:hAnsi="黑体" w:eastAsia="黑体" w:cs="Times New Roman"/>
      <w:color w:val="000000"/>
      <w:sz w:val="28"/>
      <w:szCs w:val="28"/>
    </w:rPr>
  </w:style>
  <w:style w:type="character" w:customStyle="1" w:styleId="28">
    <w:name w:val="bjh-p"/>
    <w:basedOn w:val="19"/>
    <w:qFormat/>
    <w:uiPriority w:val="99"/>
    <w:rPr>
      <w:rFonts w:cs="Times New Roman"/>
    </w:rPr>
  </w:style>
  <w:style w:type="character" w:customStyle="1" w:styleId="29">
    <w:name w:val="bjh-strong"/>
    <w:basedOn w:val="19"/>
    <w:uiPriority w:val="99"/>
    <w:rPr>
      <w:rFonts w:cs="Times New Roman"/>
    </w:rPr>
  </w:style>
  <w:style w:type="paragraph" w:styleId="30">
    <w:name w:val="No Spacing"/>
    <w:qFormat/>
    <w:uiPriority w:val="99"/>
    <w:pPr>
      <w:widowControl w:val="0"/>
      <w:jc w:val="both"/>
    </w:pPr>
    <w:rPr>
      <w:rFonts w:ascii="Calibri" w:hAnsi="Calibri" w:eastAsia="宋体" w:cs="Times New Roman"/>
      <w:kern w:val="2"/>
      <w:sz w:val="21"/>
      <w:szCs w:val="22"/>
      <w:lang w:val="en-US" w:eastAsia="zh-CN" w:bidi="ar-SA"/>
    </w:rPr>
  </w:style>
  <w:style w:type="character" w:customStyle="1" w:styleId="31">
    <w:name w:val="标题 1 Char"/>
    <w:basedOn w:val="19"/>
    <w:link w:val="2"/>
    <w:uiPriority w:val="0"/>
    <w:rPr>
      <w:b/>
      <w:bCs/>
      <w:kern w:val="44"/>
      <w:sz w:val="44"/>
      <w:szCs w:val="44"/>
    </w:rPr>
  </w:style>
  <w:style w:type="paragraph" w:customStyle="1" w:styleId="32">
    <w:name w:val="TOC Heading"/>
    <w:basedOn w:val="2"/>
    <w:next w:val="1"/>
    <w:semiHidden/>
    <w:unhideWhenUsed/>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33">
    <w:name w:val="批注框文本 Char"/>
    <w:basedOn w:val="19"/>
    <w:link w:val="9"/>
    <w:semiHidden/>
    <w:uiPriority w:val="99"/>
    <w:rPr>
      <w:kern w:val="2"/>
      <w:sz w:val="18"/>
      <w:szCs w:val="18"/>
    </w:rPr>
  </w:style>
  <w:style w:type="character" w:customStyle="1" w:styleId="34">
    <w:name w:val="tj"/>
    <w:basedOn w:val="1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99C803-4120-4436-B5FD-90AA5463AD06}">
  <ds:schemaRefs/>
</ds:datastoreItem>
</file>

<file path=docProps/app.xml><?xml version="1.0" encoding="utf-8"?>
<Properties xmlns="http://schemas.openxmlformats.org/officeDocument/2006/extended-properties" xmlns:vt="http://schemas.openxmlformats.org/officeDocument/2006/docPropsVTypes">
  <Template>Normal.dotm</Template>
  <Pages>66</Pages>
  <Words>5938</Words>
  <Characters>33848</Characters>
  <Lines>282</Lines>
  <Paragraphs>79</Paragraphs>
  <TotalTime>6</TotalTime>
  <ScaleCrop>false</ScaleCrop>
  <LinksUpToDate>false</LinksUpToDate>
  <CharactersWithSpaces>39707</CharactersWithSpaces>
  <Application>WPS Office_11.1.0.9929_F1E327BC-269C-435d-A152-05C5408002CA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2020-10-13T01:38:00Z</dcterms:created>
  <dc:creator>Administrator</dc:creator>
  <cp:lastModifiedBy>7313</cp:lastModifiedBy>
  <cp:lastPrinted>2020-05-20T03:20:00Z</cp:lastPrinted>
  <dcterms:modified xsi:type="dcterms:W3CDTF">2020-12-09T07:20:58Z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